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Приложение 2.</w:t>
      </w:r>
      <w:r>
        <w:rPr>
          <w:b/>
          <w:bCs/>
        </w:rPr>
        <w:t xml:space="preserve">1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к ПОП-П по специальности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09.02.08 Интеллектуальные интегрированные системы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  <w:color w:val="0070c0"/>
        </w:rP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jc w:val="right"/>
        <w:rPr>
          <w:b/>
          <w:bCs/>
          <w:color w:val="0070c0"/>
        </w:rP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  <w:t xml:space="preserve">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7"/>
        <w:pBdr/>
        <w:spacing/>
        <w:ind/>
        <w:rPr>
          <w:rFonts w:ascii="Times New Roman Полужирный" w:hAnsi="Times New Roman Полужирный"/>
          <w:caps/>
          <w:sz w:val="28"/>
          <w:szCs w:val="28"/>
        </w:rPr>
      </w:pPr>
      <w:r/>
      <w:bookmarkStart w:id="0" w:name="_Toc168083418"/>
      <w:r>
        <w:rPr>
          <w:rFonts w:ascii="Times New Roman Полужирный" w:hAnsi="Times New Roman Полужирный"/>
          <w:caps/>
          <w:sz w:val="28"/>
          <w:szCs w:val="28"/>
        </w:rPr>
        <w:t xml:space="preserve">ОП.0</w:t>
      </w:r>
      <w:r>
        <w:rPr>
          <w:caps/>
          <w:sz w:val="28"/>
          <w:szCs w:val="28"/>
        </w:rPr>
        <w:t xml:space="preserve">3</w:t>
      </w:r>
      <w:r>
        <w:rPr>
          <w:rFonts w:ascii="Times New Roman Полужирный" w:hAnsi="Times New Roman Полужирный"/>
          <w:caps/>
          <w:sz w:val="28"/>
          <w:szCs w:val="28"/>
        </w:rPr>
        <w:t xml:space="preserve"> Инженерная</w:t>
      </w:r>
      <w:r>
        <w:rPr>
          <w:rFonts w:asciiTheme="minorHAnsi" w:hAnsiTheme="minorHAnsi"/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И</w:t>
      </w:r>
      <w:r>
        <w:rPr>
          <w:rFonts w:ascii="Times New Roman Полужирный" w:hAnsi="Times New Roman Полужирный"/>
          <w:caps/>
          <w:sz w:val="28"/>
          <w:szCs w:val="28"/>
        </w:rPr>
        <w:t xml:space="preserve"> компьютерная графика</w:t>
      </w:r>
      <w:bookmarkEnd w:id="0"/>
      <w:r>
        <w:rPr>
          <w:rFonts w:ascii="Times New Roman Полужирный" w:hAnsi="Times New Roman Полужирный"/>
          <w:caps/>
          <w:sz w:val="28"/>
          <w:szCs w:val="28"/>
        </w:rPr>
      </w:r>
      <w:r>
        <w:rPr>
          <w:rFonts w:ascii="Times New Roman Полужирный" w:hAnsi="Times New Roman Полужирный"/>
          <w:caps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321945</wp:posOffset>
                </wp:positionV>
                <wp:extent cx="358140" cy="49530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58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470.50pt;mso-position-horizontal:absolute;mso-position-vertical-relative:text;margin-top:25.35pt;mso-position-vertical:absolute;width:28.20pt;height:39.00pt;mso-wrap-distance-left:9.00pt;mso-wrap-distance-top:0.00pt;mso-wrap-distance-right:9.00pt;mso-wrap-distance-bottom:0.00pt;flip:y;visibility:visible;" fillcolor="#FFFFFF" stroked="f"/>
            </w:pict>
          </mc:Fallback>
        </mc:AlternateContent>
      </w:r>
      <w:r>
        <w:rPr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12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Составитель: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Слесарева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Наиля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Садыковна</w:t>
      </w:r>
      <w:r>
        <w:rPr>
          <w:b/>
          <w:sz w:val="28"/>
          <w:szCs w:val="28"/>
        </w:rPr>
        <w:t xml:space="preserve">, преподаватель ГБПОУ УКРТБ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Содержание ПРОГРАММЫ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10212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>
        <w:trPr/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507" w:type="dxa"/>
            <w:textDirection w:val="lrTb"/>
            <w:noWrap/>
          </w:tcPr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Общая характеристика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Цель и место дисциплины в структуре образовательной программы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Планируемые результаты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auto" w:fill="ffffff"/>
              <w:spacing w:line="360" w:lineRule="auto"/>
              <w:ind w:left="360"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</w:t>
            </w:r>
            <w:r>
              <w:rPr>
                <w:sz w:val="28"/>
                <w:szCs w:val="28"/>
              </w:rPr>
              <w:t xml:space="preserve">Обоснование часов вариативной части ОПОП-П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Структура и 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Трудоемкость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Условия реализации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Материально-техническое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Учебно-методическое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Контроль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и оценка результатов освоения дисциплины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704" w:type="dxa"/>
            <w:textDirection w:val="lrTb"/>
            <w:noWrap/>
          </w:tcPr>
          <w:p>
            <w:pPr>
              <w:widowControl w:val="false"/>
              <w:pBdr/>
              <w:spacing w:line="360" w:lineRule="auto"/>
              <w:ind/>
              <w:jc w:val="center"/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9"/>
        </w:numPr>
        <w:pBdr/>
        <w:spacing/>
        <w:ind/>
        <w:jc w:val="center"/>
        <w:rPr>
          <w:b/>
          <w:caps/>
          <w:sz w:val="28"/>
          <w:szCs w:val="28"/>
        </w:rPr>
      </w:pPr>
      <w:r/>
      <w:bookmarkStart w:id="1" w:name="_Hlk188522575"/>
      <w:r>
        <w:rPr>
          <w:b/>
          <w:caps/>
          <w:sz w:val="28"/>
          <w:szCs w:val="28"/>
        </w:rPr>
        <w:t xml:space="preserve">ОБЩАЯ ХАРАКТЕРИСТИКА РАБОЧЕЙ ПРОГРАММЫ УЧЕБНОЙ ДИСЦИПЛИНЫ</w:t>
      </w:r>
      <w:bookmarkEnd w:id="1"/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 w:left="108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69"/>
        <w:pBdr/>
        <w:spacing/>
        <w:ind/>
        <w:jc w:val="center"/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pP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«ОП.0</w:t>
      </w:r>
      <w:r>
        <w:rPr>
          <w:rFonts w:eastAsia="Segoe UI"/>
          <w:b/>
          <w:bCs/>
          <w:caps/>
          <w:u w:val="single"/>
          <w:lang w:val="ru-RU"/>
        </w:rPr>
        <w:t xml:space="preserve">3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 Инженерная и компьютерная графика»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r>
    </w:p>
    <w:p>
      <w:pPr>
        <w:pStyle w:val="969"/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70"/>
        <w:pBdr/>
        <w:spacing/>
        <w:ind/>
        <w:rPr>
          <w:rFonts w:ascii="Times New Roman" w:hAnsi="Times New Roman"/>
          <w:sz w:val="28"/>
          <w:szCs w:val="28"/>
        </w:rPr>
      </w:pPr>
      <w:r/>
      <w:bookmarkStart w:id="2" w:name="_Toc158389393"/>
      <w:r/>
      <w:bookmarkStart w:id="3" w:name="_Toc158393497"/>
      <w:r/>
      <w:bookmarkStart w:id="4" w:name="_Toc158397954"/>
      <w:r>
        <w:rPr>
          <w:rFonts w:ascii="Times New Roman" w:hAnsi="Times New Roman"/>
          <w:sz w:val="28"/>
          <w:szCs w:val="28"/>
        </w:rPr>
        <w:t xml:space="preserve">1.1. Цель и место дисциплины в структуре образовательной программы</w:t>
      </w:r>
      <w:bookmarkEnd w:id="2"/>
      <w:r/>
      <w:bookmarkEnd w:id="3"/>
      <w:r/>
      <w:bookmarkEnd w:id="4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t xml:space="preserve">Цель дисциплины «ОП.01</w:t>
      </w:r>
      <w:r>
        <w:t xml:space="preserve"> Инженерная и компьютерная графика»: формирование способностей разрабатывать и использовать графическую документацию в соответствии с имеющимися стандартами и инструкциями.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t xml:space="preserve">Дисциплина «ОП.01</w:t>
      </w:r>
      <w:r>
        <w:t xml:space="preserve"> Инженерная графика» включена в обязательную часть </w:t>
      </w:r>
      <w:r>
        <w:t xml:space="preserve">общепрофессионального</w:t>
      </w:r>
      <w:r>
        <w:t xml:space="preserve"> цикла образовательной программы.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pBdr/>
        <w:spacing/>
        <w:ind/>
        <w:rPr>
          <w:rFonts w:ascii="Times New Roman" w:hAnsi="Times New Roman"/>
        </w:rPr>
      </w:pPr>
      <w:r/>
      <w:bookmarkStart w:id="5" w:name="_Toc158389394"/>
      <w:r>
        <w:rPr>
          <w:rFonts w:ascii="Times New Roman" w:hAnsi="Times New Roman"/>
        </w:rPr>
        <w:t xml:space="preserve">1.2. Планируемые результаты освоения дисциплины</w:t>
      </w:r>
      <w:bookmarkEnd w:id="5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/>
      </w:pPr>
      <w: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  <w:r/>
    </w:p>
    <w:p>
      <w:pPr>
        <w:pBdr/>
        <w:spacing w:after="120"/>
        <w:ind w:firstLine="709"/>
        <w:rPr>
          <w:bCs/>
        </w:rPr>
      </w:pPr>
      <w:r>
        <w:rPr>
          <w:bCs/>
        </w:rPr>
        <w:t xml:space="preserve">В результате освоения дисциплины обучающийся должен:</w:t>
      </w:r>
      <w:r>
        <w:rPr>
          <w:bCs/>
        </w:rPr>
      </w:r>
      <w:r>
        <w:rPr>
          <w:bCs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6"/>
        <w:gridCol w:w="3285"/>
        <w:gridCol w:w="3063"/>
        <w:gridCol w:w="2403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>
                <w:rStyle w:val="926"/>
                <w:b/>
                <w:i w:val="0"/>
              </w:rPr>
            </w:pPr>
            <w:r>
              <w:rPr>
                <w:rStyle w:val="926"/>
                <w:b/>
                <w:i w:val="0"/>
              </w:rPr>
              <w:t xml:space="preserve">Код ОК, </w:t>
            </w:r>
            <w:r>
              <w:rPr>
                <w:rStyle w:val="926"/>
                <w:b/>
                <w:i w:val="0"/>
              </w:rPr>
            </w:r>
            <w:r>
              <w:rPr>
                <w:rStyle w:val="926"/>
                <w:b/>
                <w:i w:val="0"/>
              </w:rPr>
            </w:r>
          </w:p>
          <w:p>
            <w:pPr>
              <w:pBdr/>
              <w:spacing/>
              <w:ind/>
              <w:rPr>
                <w:rStyle w:val="926"/>
                <w:b/>
                <w:i w:val="0"/>
              </w:rPr>
            </w:pPr>
            <w:r>
              <w:rPr>
                <w:rStyle w:val="926"/>
                <w:b/>
                <w:i w:val="0"/>
              </w:rPr>
              <w:t xml:space="preserve">ПК</w:t>
            </w:r>
            <w:r>
              <w:rPr>
                <w:rStyle w:val="926"/>
                <w:b/>
                <w:i w:val="0"/>
              </w:rPr>
            </w:r>
            <w:r>
              <w:rPr>
                <w:rStyle w:val="926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Уметь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методы работы в профессиональной и смежных сферах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задачи для поиска информации, планировать процесс поиска, выбирать необходимые источники </w:t>
            </w:r>
            <w:r>
              <w:rPr>
                <w:bCs/>
              </w:rPr>
              <w:t xml:space="preserve">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 w:right="913"/>
              <w:jc w:val="both"/>
              <w:rPr/>
            </w:pPr>
            <w:r>
              <w:t xml:space="preserve">номенклатура информационных источников, применяемых в </w:t>
            </w:r>
            <w:r>
              <w:t xml:space="preserve">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приемы структурирования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формат оформления результатов поиска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современные средства и устройства информатизации, порядок их применения и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проявлять толерантность в рабочем коллективе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правила оформления документов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правила построения устных сообщений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произношения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правила чтения текстов профессиональной направленности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87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rFonts w:eastAsia="Calibri"/>
              </w:rPr>
              <w:t xml:space="preserve">ПК 1.1.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системы автоматизированного проектирования для подготовки технической документации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оформлять техническую документацию в соответствии с действующей нормативной базой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искать информацию о категориях чертежей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сравнивать и анализировать различные виды чертежей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систематизировать информацию о методах и приёмах выполнения схем по специальности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планировать свое профессиональное развитие в области инженерной и компьютерной графики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Эффективно применять информационные технологии для поиска и решения профессионально значимых задач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требования стандартов Единой системы конструкторской документации (ЕСКД)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Единая система технологической документации (ЕСТД) к оформлению и составлению чертежей и схем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положения конструкторской, технологической и другой нормативной документации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типы чертёжных шрифтов, их параметры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методы самоконтроля в решении профессиональных задач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способы и методы сбора, анализа и систематизации данных посредством информационных технологий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использовать системы автоматизированного проектирования для подготовки технической документации</w:t>
            </w: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</w:tbl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hd w:val="clear" w:color="auto" w:fill="ffffff"/>
        <w:spacing w:after="238" w:line="240" w:lineRule="auto"/>
        <w:ind/>
        <w:rPr>
          <w:color w:val="ff0000"/>
        </w:rPr>
      </w:pPr>
      <w:r>
        <w:rPr>
          <w:b/>
          <w:bCs/>
          <w:color w:val="000000"/>
          <w:sz w:val="28"/>
          <w:szCs w:val="28"/>
        </w:rPr>
        <w:t xml:space="preserve">1.3.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Обоснование часов вариативной части ОПОП-П</w:t>
      </w:r>
      <w:r>
        <w:rPr>
          <w:color w:val="ff0000"/>
        </w:rPr>
      </w:r>
      <w:r>
        <w:rPr>
          <w:color w:val="ff0000"/>
        </w:rPr>
      </w:r>
    </w:p>
    <w:tbl>
      <w:tblPr>
        <w:tblStyle w:val="770"/>
        <w:tblW w:w="9831" w:type="dxa"/>
        <w:tblInd w:w="-5" w:type="dxa"/>
        <w:tblBorders/>
        <w:tblLook w:val="04A0" w:firstRow="1" w:lastRow="0" w:firstColumn="1" w:lastColumn="0" w:noHBand="0" w:noVBand="1"/>
      </w:tblPr>
      <w:tblGrid>
        <w:gridCol w:w="770"/>
        <w:gridCol w:w="3217"/>
        <w:gridCol w:w="2222"/>
        <w:gridCol w:w="1232"/>
        <w:gridCol w:w="2390"/>
      </w:tblGrid>
      <w:tr>
        <w:trPr/>
        <w:tc>
          <w:tcPr>
            <w:tcBorders/>
            <w:tcW w:w="770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3217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Дополнительные знания, умения, </w:t>
            </w:r>
            <w:r>
              <w:rPr>
                <w:b/>
                <w:lang w:val="ru-RU"/>
              </w:rPr>
              <w:t xml:space="preserve">навыки</w:t>
            </w:r>
            <w:r>
              <w:rPr>
                <w:b/>
                <w:i/>
                <w:iCs/>
                <w:lang w:val="ru-RU"/>
              </w:rPr>
              <w:t xml:space="preserve">(если указаны ПК)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/>
            <w:tcW w:w="2222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№, </w:t>
            </w:r>
            <w:r>
              <w:rPr>
                <w:b/>
              </w:rPr>
              <w:t xml:space="preserve">наименование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темы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232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Объем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часов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390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Обоснование включения в рабочую программу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</w:tr>
      <w:tr>
        <w:trPr/>
        <w:tc>
          <w:tcPr>
            <w:tcBorders/>
            <w:tcW w:w="770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3217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 xml:space="preserve">Уметь оформлять техническую документацию</w:t>
            </w:r>
            <w:r>
              <w:rPr>
                <w:bCs/>
                <w:i/>
                <w:lang w:val="ru-RU"/>
              </w:rPr>
              <w:t xml:space="preserve">.</w:t>
            </w:r>
            <w:r>
              <w:rPr>
                <w:bCs/>
                <w:i/>
                <w:lang w:val="ru-RU"/>
              </w:rPr>
            </w:r>
            <w:r>
              <w:rPr>
                <w:bCs/>
                <w:i/>
                <w:lang w:val="ru-RU"/>
              </w:rPr>
            </w:r>
          </w:p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bCs/>
                <w:i/>
              </w:rPr>
              <w:t xml:space="preserve">С</w:t>
            </w:r>
            <w:r>
              <w:rPr>
                <w:bCs/>
                <w:i/>
              </w:rPr>
              <w:t xml:space="preserve">равнивать и анализировать различные виды чертежей</w:t>
            </w:r>
            <w:r>
              <w:rPr>
                <w:bCs/>
                <w:i/>
              </w:rPr>
              <w:t xml:space="preserve">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919"/>
              <w:pBdr/>
              <w:spacing w:after="120"/>
              <w:ind w:left="0"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</w:r>
            <w:r>
              <w:rPr>
                <w:bCs/>
                <w:i/>
                <w:lang w:val="ru-RU"/>
              </w:rPr>
            </w:r>
            <w:r>
              <w:rPr>
                <w:bCs/>
                <w:i/>
                <w:lang w:val="ru-RU"/>
              </w:rPr>
            </w:r>
          </w:p>
        </w:tc>
        <w:tc>
          <w:tcPr>
            <w:tcBorders/>
            <w:tcW w:w="2222" w:type="dxa"/>
            <w:textDirection w:val="lrTb"/>
            <w:noWrap/>
          </w:tcPr>
          <w:p>
            <w:pPr>
              <w:pBdr/>
              <w:spacing w:line="276" w:lineRule="auto"/>
              <w:ind/>
              <w:rPr/>
            </w:pPr>
            <w:r>
              <w:rPr>
                <w:bCs/>
              </w:rPr>
              <w:t xml:space="preserve">Тема 1.3.</w:t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  <w:t xml:space="preserve">Нанесение размеров на чертежах. Геометрические построения и правила вычерчивания контуров технических деталей</w:t>
            </w: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</w:rPr>
            </w:r>
          </w:p>
        </w:tc>
        <w:tc>
          <w:tcPr>
            <w:tcBorders/>
            <w:tcW w:w="1232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pStyle w:val="919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6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pStyle w:val="919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2390" w:type="dxa"/>
            <w:textDirection w:val="lrTb"/>
            <w:noWrap/>
          </w:tcPr>
          <w:p>
            <w:pPr>
              <w:pStyle w:val="919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по запросу работодателя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</w:tr>
    </w:tbl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2.1. Трудоемкость освоение дисциплины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77" w:type="dxa"/>
        <w:tblInd w:w="216" w:type="dxa"/>
        <w:tblBorders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>
        <w:trPr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составных частей дисциплины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в часах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т.ч в форме практической подготовки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Учебные занятия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теоретическое обучение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лабораторные работы (если предусмотрено)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практические занятия (если предусмотрено)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 (проект) (если предусмотрено)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Самостоятельная работа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iCs/>
                <w:sz w:val="28"/>
                <w:szCs w:val="28"/>
              </w:rPr>
              <w:t xml:space="preserve">ромежуточная аттестация (дифференцированный зачет)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Всего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  <w:sectPr>
          <w:footerReference w:type="default" r:id="rId9"/>
          <w:footnotePr/>
          <w:endnotePr/>
          <w:type w:val="nextPage"/>
          <w:pgSz w:h="16838" w:orient="portrait" w:w="11906"/>
          <w:pgMar w:top="709" w:right="567" w:bottom="1134" w:left="1418" w:header="0" w:footer="720" w:gutter="0"/>
          <w:cols w:num="1" w:sep="0" w:space="720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>
        <w:trPr/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208" w:type="dxa"/>
            <w:textDirection w:val="lrTb"/>
            <w:noWrap/>
          </w:tcPr>
          <w:p>
            <w:pPr>
              <w:pBdr/>
              <w:spacing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Тематический план и содержание учебной дисциплины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6480" w:type="dxa"/>
            <w:textDirection w:val="lrTb"/>
            <w:noWrap/>
          </w:tcPr>
          <w:p>
            <w:pPr>
              <w:pBdr/>
              <w:tabs>
                <w:tab w:val="num" w:leader="none" w:pos="0"/>
              </w:tabs>
              <w:spacing/>
              <w:ind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caps/>
              </w:rPr>
              <w:t xml:space="preserve">Инженерная</w:t>
            </w:r>
            <w:r>
              <w:rPr>
                <w:rFonts w:asciiTheme="minorHAnsi" w:hAnsiTheme="minorHAnsi"/>
                <w:caps/>
              </w:rPr>
              <w:t xml:space="preserve"> </w:t>
            </w:r>
            <w:r>
              <w:rPr>
                <w:b/>
                <w:caps/>
              </w:rPr>
              <w:t xml:space="preserve">И</w:t>
            </w:r>
            <w:r>
              <w:rPr>
                <w:rFonts w:ascii="Times New Roman Полужирный" w:hAnsi="Times New Roman Полужирный"/>
                <w:b/>
                <w:caps/>
              </w:rPr>
              <w:t xml:space="preserve"> </w:t>
            </w:r>
            <w:r>
              <w:rPr>
                <w:rFonts w:ascii="Times New Roman Полужирный" w:hAnsi="Times New Roman Полужирный"/>
                <w:caps/>
              </w:rPr>
              <w:t xml:space="preserve">компьютерная графика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название учебной дисциплины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44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91"/>
        <w:gridCol w:w="576"/>
        <w:gridCol w:w="8632"/>
        <w:gridCol w:w="1680"/>
        <w:gridCol w:w="1246"/>
      </w:tblGrid>
      <w:tr>
        <w:trPr>
          <w:cantSplit/>
          <w:trHeight w:val="58"/>
        </w:trPr>
        <w:tc>
          <w:tcPr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часов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том числе </w:t>
            </w:r>
            <w:r>
              <w:rPr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cantSplit/>
          <w:trHeight w:val="1692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Формируемые компетенции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cantSplit/>
          <w:trHeight w:val="202"/>
        </w:trPr>
        <w:tc>
          <w:tcPr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cantSplit/>
          <w:trHeight w:val="202"/>
        </w:trPr>
        <w:tc>
          <w:tcPr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</w:rPr>
              <w:t xml:space="preserve">семестр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cantSplit/>
          <w:trHeight w:val="283"/>
        </w:trPr>
        <w:tc>
          <w:tcPr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Основные стандарты и средства оформления конструкторской документации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28/28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0"/>
        </w:trPr>
        <w:tc>
          <w:tcPr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 w:after="200" w:line="276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Стандарты на содержание и оформление конструкторских документов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spacing w:val="-2"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spacing w:val="-2"/>
              </w:rPr>
            </w:r>
            <w:r>
              <w:rPr>
                <w:b/>
                <w:spacing w:val="-2"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cantSplit/>
          <w:trHeight w:val="1332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Оформление чертежей: стандарты (ЕСКД); форматы чертежей основные и дополнительные их раз</w:t>
            </w:r>
            <w:r>
              <w:t xml:space="preserve">меры и обозначение (ГОСТ2.30168); основная надпись чертежа ее форма, размеры, форма 1, форма 2, форма 2а, порядок заполнения основных надписей и дополнительных граф (ГОСТ 2.104-2006); масштабы (ГОСТ 2.302-68); линии чертежа и их конструкция (ГОСТ 2.303-8).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ГОСТ 19.301-79 Единая система программной документации (ЕСПД).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396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</w:t>
            </w:r>
            <w:r>
              <w:rPr>
                <w:bCs/>
              </w:rPr>
              <w:t xml:space="preserve">ие: Чтение и анализ литературы[3</w:t>
            </w:r>
            <w:r>
              <w:rPr>
                <w:bCs/>
              </w:rPr>
              <w:t xml:space="preserve">]</w:t>
            </w:r>
            <w:r>
              <w:rPr>
                <w:color w:val="000000"/>
              </w:rPr>
              <w:t xml:space="preserve">стр.16-37,164-177.ГОСТ 2.304-81.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76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>
              <w:t xml:space="preserve">/8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53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1-4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  <w:iCs/>
              </w:rPr>
              <w:t xml:space="preserve">Основные элементы интерфейсов систем автоматизированного проектирования конструкторской документации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179"/>
        </w:trPr>
        <w:tc>
          <w:tcPr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 в автоматизированную систему проектирования </w:t>
            </w:r>
            <w:r>
              <w:rPr>
                <w:b/>
                <w:bCs/>
              </w:rPr>
              <w:t xml:space="preserve">AutoCAD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cantSplit/>
          <w:trHeight w:val="300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Геометрические построения, исп</w:t>
            </w:r>
            <w:r>
              <w:t xml:space="preserve">ользуемые при вычерчивании контуров технических деталей. Уклон и конусность на технических деталях, правила их определения, построение по заданной величине и обозначение. Деление окружности на равные части. Построение и обводка лекальных кривых. Масштабы. 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ГОСТ 34.201-89 Виды, комплектность и обозначения документов при создании 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t xml:space="preserve">автоматизированных систем.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555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</w:t>
            </w:r>
            <w:r>
              <w:rPr>
                <w:bCs/>
              </w:rPr>
              <w:t xml:space="preserve">е: Чтение и анализ литературы [3</w:t>
            </w:r>
            <w:r>
              <w:rPr>
                <w:bCs/>
              </w:rPr>
              <w:t xml:space="preserve">] </w:t>
            </w:r>
            <w:r>
              <w:rPr>
                <w:color w:val="000000"/>
              </w:rPr>
              <w:t xml:space="preserve">164-177, 19-25,164-188, 167-176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76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12/12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562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  <w:t xml:space="preserve">5,6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  <w:iCs/>
              </w:rPr>
              <w:t xml:space="preserve">Главное меню </w:t>
            </w:r>
            <w:r>
              <w:rPr>
                <w:bCs/>
                <w:iCs/>
              </w:rPr>
              <w:t xml:space="preserve">AutoCAD</w:t>
            </w:r>
            <w:r>
              <w:rPr>
                <w:bCs/>
                <w:iCs/>
              </w:rPr>
              <w:t xml:space="preserve">. Стандартная панель. Вид. Панель переключений. Основные инструменты. Панель свойств.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562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7,8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Шрифты: заполнение основной надписи, применение наклонного и прямого шрифтов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492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9,10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Нанесение размеров на чертежах в соответствии с 2.307-81, ГОСТ 2.3318-81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546"/>
        </w:trPr>
        <w:tc>
          <w:tcPr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Нанесение размеров на чертежах. Геометрические построения и правила вычерчивания контуров технических деталей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Содержание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color w:val="000000"/>
              </w:rPr>
              <w:t xml:space="preserve">Геометрические построения и правила вычерчивания контуров технических деталей</w:t>
            </w:r>
            <w:r>
              <w:rPr>
                <w:bCs/>
                <w:color w:val="000000"/>
              </w:rPr>
              <w:t xml:space="preserve">.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cantSplit/>
          <w:trHeight w:val="276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Практические занятия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8/8</w:t>
            </w:r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11,12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color w:val="000000"/>
              </w:rPr>
              <w:t xml:space="preserve">Деление отрезков и окружностей на равные части.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13,14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color w:val="000000"/>
              </w:rPr>
              <w:t xml:space="preserve">Сопряжение линий. Сопряжение двух прямых дугой окружности заданного радиуса. Внешнее и внутреннее касания дуг. Сопряжение дуг с дугами и дуги с прямой. Построение лекальных кривых.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</w:t>
            </w:r>
            <w:r>
              <w:t xml:space="preserve">3</w:t>
            </w:r>
            <w:r>
              <w:t xml:space="preserve">] </w:t>
            </w:r>
            <w:r>
              <w:rPr>
                <w:color w:val="000000"/>
              </w:rPr>
              <w:t xml:space="preserve">164-177, 19-25,164-188, 167-176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2. </w:t>
            </w:r>
            <w:r/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 Разработка и оформление схем электрических</w:t>
            </w:r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171"/>
        </w:trPr>
        <w:tc>
          <w:tcPr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Общие сведения об электрических схемах</w:t>
            </w:r>
            <w:r>
              <w:rPr>
                <w:bCs/>
              </w:rPr>
              <w:t xml:space="preserve">. </w:t>
            </w:r>
            <w:r/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cantSplit/>
          <w:trHeight w:val="1104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Виды и типы схем. Условно-графические обозначения элементов схем в соответствии со стандартами отраслевыми/ корпоративными).</w:t>
            </w:r>
            <w:r/>
          </w:p>
          <w:p>
            <w:pPr>
              <w:pBdr/>
              <w:spacing/>
              <w:ind/>
              <w:jc w:val="both"/>
              <w:rPr>
                <w:b/>
                <w:bCs/>
              </w:rPr>
            </w:pPr>
            <w:r>
              <w:t xml:space="preserve">Правила выполнения схем электрических. Условные графические обозначения, применяемые в электрических схемах. Выполнение перечня элементов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8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</w:t>
            </w:r>
            <w:r>
              <w:rPr>
                <w:bCs/>
              </w:rPr>
              <w:t xml:space="preserve">е: Чтение и анализ литературы [3</w:t>
            </w:r>
            <w:r>
              <w:rPr>
                <w:bCs/>
              </w:rPr>
              <w:t xml:space="preserve">] 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76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4/4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33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15-16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Основные элементы интерфейсов систем автоматизированного проектирования электрических схем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Самостоятельная работа обучающихся: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Чтение и анализ литературы[3</w:t>
            </w:r>
            <w:r>
              <w:t xml:space="preserve">] </w:t>
            </w:r>
            <w:r>
              <w:rPr>
                <w:bCs/>
              </w:rPr>
              <w:t xml:space="preserve">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3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Подготовка к тестированию по теме 2.1.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69"/>
        </w:trPr>
        <w:tc>
          <w:tcPr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</w:t>
            </w:r>
            <w:r>
              <w:rPr>
                <w:b/>
                <w:bCs/>
              </w:rPr>
              <w:t xml:space="preserve"> семестр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69"/>
        </w:trPr>
        <w:tc>
          <w:tcPr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Оформление схем электрических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Содержание учебного материала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cantSplit/>
          <w:trHeight w:val="1320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Машиностроительный чертеж, его назначение. Влияние стандартов на качество машиностроительной продукции. Зависимость качеств</w:t>
            </w:r>
            <w:r>
              <w:t xml:space="preserve">а изделия от качества чертежа. Обзор разновидностей современных чертежей. Виды изделий по ГОСТ-2.101-68 (проектные и рабочие). Методы решения графических задач. Виды конструкторских документов в зависимости от способов выполнения и характера использования.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Методы и приемы выполнения чертежей печатных плат (ГОСТ 2.109-73, ГОСТ 2.417-68).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Чертеж печатной платы, правила его выполнения; координатная сетка, ее шаг, обозначение координатной сетки, печатный монтаж, оформление. Сборочный чертеж печатной платы.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79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</w:t>
            </w:r>
            <w:r>
              <w:rPr>
                <w:bCs/>
              </w:rPr>
              <w:t xml:space="preserve">е: Чтение и анализ литературы [3</w:t>
            </w:r>
            <w:r>
              <w:rPr>
                <w:bCs/>
              </w:rPr>
              <w:t xml:space="preserve">] 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>
              <w:t xml:space="preserve">/20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17,18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Схема электрическая структурная Э1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19-22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Оформление схемы электрической принципиальной Э3.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23-26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и оформление чертежей печатных плат.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Самостоятельная работа обучающихся: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Чтение и анализ литературы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9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Подготовка к тестированию по разделу 2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shd w:val="clear" w:color="auto" w:fill="ffffff"/>
            <w:tcBorders/>
            <w:tcW w:w="229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Разработка и оформление технической документации 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/2</w:t>
            </w: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shd w:val="clear" w:color="auto" w:fill="ffffff"/>
            <w:tcBorders/>
            <w:tcW w:w="2291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Оформление текстовых документов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cantSplit/>
          <w:trHeight w:val="438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Общие требования к текстовым документам ГОСТ Р 2.105-2019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Порядок и последовательность работы с системой «Компас».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64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iCs/>
              </w:rPr>
            </w:pPr>
            <w:r>
              <w:rPr>
                <w:bCs/>
              </w:rPr>
              <w:t xml:space="preserve">Домашнее задани</w:t>
            </w:r>
            <w:r>
              <w:rPr>
                <w:bCs/>
              </w:rPr>
              <w:t xml:space="preserve">е: Чтение и анализ литературы [3</w:t>
            </w:r>
            <w:r>
              <w:rPr>
                <w:bCs/>
              </w:rPr>
              <w:t xml:space="preserve">] стр. </w:t>
            </w:r>
            <w:r>
              <w:rPr>
                <w:color w:val="000000"/>
              </w:rPr>
              <w:t xml:space="preserve">152-164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312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20/20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27-31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Построение текстовых документов с примечаниями и сносками средствами АСП КОМПАС-ГРАФИК или аналогичных.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7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32-36</w:t>
            </w:r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Построение и включение в текстовый документ таблиц и графиков с использованием электронных таблиц.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288"/>
        </w:trPr>
        <w:tc>
          <w:tcPr>
            <w:shd w:val="clear" w:color="auto" w:fill="ffffff"/>
            <w:tcBorders/>
            <w:tcW w:w="2291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8632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Промежуточная аттестация</w:t>
            </w:r>
            <w:r>
              <w:rPr>
                <w:b/>
              </w:rPr>
              <w:t xml:space="preserve"> экзамен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trHeight w:val="133"/>
        </w:trPr>
        <w:tc>
          <w:tcPr>
            <w:gridSpan w:val="3"/>
            <w:shd w:val="clear" w:color="auto" w:fill="ffffff"/>
            <w:tcBorders/>
            <w:tcW w:w="11499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0"/>
          <w:szCs w:val="20"/>
        </w:rPr>
        <w:sectPr>
          <w:footerReference w:type="default" r:id="rId10"/>
          <w:footerReference w:type="even" r:id="rId11"/>
          <w:footnotePr/>
          <w:endnotePr/>
          <w:type w:val="nextPage"/>
          <w:pgSz w:h="11907" w:orient="landscape" w:w="16840"/>
          <w:pgMar w:top="360" w:right="1134" w:bottom="851" w:left="992" w:header="709" w:footer="709" w:gutter="0"/>
          <w:cols w:num="1" w:sep="0" w:space="720" w:equalWidth="1"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3. УСЛОВИЯ РЕАЛИЗАЦИИ ПРОГРАММЫ УЧЕБНОЙ ДИСЦИПЛИНЫ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3.1. Материально-техническое обеспечение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Кабинеты «</w:t>
      </w:r>
      <w:r>
        <w:rPr>
          <w:sz w:val="28"/>
          <w:szCs w:val="28"/>
        </w:rPr>
        <w:t xml:space="preserve">Общепрофессиональных</w:t>
      </w:r>
      <w:r>
        <w:rPr>
          <w:sz w:val="28"/>
          <w:szCs w:val="28"/>
        </w:rPr>
        <w:t xml:space="preserve"> дисциплин и профессиональных модулей» оснащенные в соответствии с приложением 3 ПОП-П.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3.2. Учебно-методическое обеспечение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</w:t>
      </w:r>
      <w:r>
        <w:rPr>
          <w:sz w:val="28"/>
          <w:szCs w:val="28"/>
        </w:rPr>
        <w:t xml:space="preserve">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3.2.1. Основные печатные и/или электронные издания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 А. В. Компьютерная графика в САПР / А. В. </w:t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, В. Н. </w:t>
      </w:r>
      <w:r>
        <w:rPr>
          <w:sz w:val="28"/>
          <w:szCs w:val="28"/>
        </w:rPr>
        <w:t xml:space="preserve">Крутов</w:t>
      </w:r>
      <w:r>
        <w:rPr>
          <w:sz w:val="28"/>
          <w:szCs w:val="28"/>
        </w:rPr>
        <w:t xml:space="preserve">, В. А. </w:t>
      </w:r>
      <w:r>
        <w:rPr>
          <w:sz w:val="28"/>
          <w:szCs w:val="28"/>
        </w:rPr>
        <w:t xml:space="preserve">Треяль</w:t>
      </w:r>
      <w:r>
        <w:rPr>
          <w:sz w:val="28"/>
          <w:szCs w:val="28"/>
        </w:rPr>
        <w:t xml:space="preserve">, О. А. </w:t>
      </w:r>
      <w:r>
        <w:rPr>
          <w:sz w:val="28"/>
          <w:szCs w:val="28"/>
        </w:rPr>
        <w:t xml:space="preserve">Коршакова</w:t>
      </w:r>
      <w:r>
        <w:rPr>
          <w:sz w:val="28"/>
          <w:szCs w:val="28"/>
        </w:rPr>
        <w:t xml:space="preserve">. — 2-е изд., стер. — Санкт-Петербург : Лань, 2023. — 196 с. — ISBN 978-5-507-47904-7. — Текст : электронный // Лань : электронно-библиотечная система. — URL: https://e.lanbook.com/book/332129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В. П. Инженерная графика : учебник / В.П. </w:t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Т.Я. Яковлева ; под ред. В.П. </w:t>
      </w:r>
      <w:r>
        <w:rPr>
          <w:sz w:val="28"/>
          <w:szCs w:val="28"/>
        </w:rPr>
        <w:t xml:space="preserve">Раклова</w:t>
      </w:r>
      <w:r>
        <w:rPr>
          <w:sz w:val="28"/>
          <w:szCs w:val="28"/>
        </w:rPr>
        <w:t xml:space="preserve">. — 2-е изд., стер. — Москва : ИНФРА-М, 2024. — 305 с. — (Среднее профессиональное образование). - ISBN 978-5-16-015343-8. - Текст : электронный. - URL: https://znanium.ru/catalog/product/2130726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3 Р. Р. </w:t>
      </w:r>
      <w:r>
        <w:rPr>
          <w:bCs/>
          <w:sz w:val="28"/>
          <w:szCs w:val="28"/>
        </w:rPr>
        <w:t xml:space="preserve">Анамовой</w:t>
      </w:r>
      <w:r>
        <w:rPr>
          <w:bCs/>
          <w:sz w:val="28"/>
          <w:szCs w:val="28"/>
        </w:rPr>
        <w:t xml:space="preserve">, С. А. Леоновой, Н. В. </w:t>
      </w:r>
      <w:r>
        <w:rPr>
          <w:bCs/>
          <w:sz w:val="28"/>
          <w:szCs w:val="28"/>
        </w:rPr>
        <w:t xml:space="preserve">Пшеничновой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Инженерная и компьютерная графика : учебник и практикум для среднего профессионального образования;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В.П.Большаков Инженерная компьютерная </w:t>
      </w:r>
      <w:r>
        <w:rPr>
          <w:color w:val="000000"/>
          <w:sz w:val="28"/>
          <w:szCs w:val="28"/>
        </w:rPr>
        <w:t xml:space="preserve">графика.</w:t>
      </w:r>
      <w:r>
        <w:rPr>
          <w:sz w:val="22"/>
          <w:szCs w:val="22"/>
        </w:rPr>
        <w:t xml:space="preserve">СПб</w:t>
      </w:r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 xml:space="preserve">БХВ-Петербург</w:t>
      </w:r>
      <w:r>
        <w:rPr>
          <w:sz w:val="22"/>
          <w:szCs w:val="22"/>
        </w:rPr>
        <w:t xml:space="preserve">, 2021.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426"/>
        <w:rPr>
          <w:rStyle w:val="941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3.2.2 </w:t>
      </w:r>
      <w:r>
        <w:rPr>
          <w:b/>
          <w:sz w:val="28"/>
          <w:szCs w:val="28"/>
        </w:rPr>
        <w:t xml:space="preserve">Дополнительные источники</w:t>
      </w:r>
      <w:r>
        <w:rPr>
          <w:rStyle w:val="941"/>
          <w:b/>
          <w:bCs/>
          <w:sz w:val="28"/>
          <w:szCs w:val="28"/>
        </w:rPr>
      </w:r>
      <w:r>
        <w:rPr>
          <w:rStyle w:val="941"/>
          <w:b/>
          <w:bCs/>
          <w:sz w:val="28"/>
          <w:szCs w:val="28"/>
        </w:rPr>
      </w:r>
    </w:p>
    <w:p>
      <w:pPr>
        <w:pBdr/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 Волошинов, Д. В. Инженерная компьютерная графика: учебник / Д. 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Волошинов, В. В. Громов. – М.: ИЦ «Академия», 2020.-208 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3. Боголюбов С.А. Инженерная графика: Учебник для средних специальных учебных заведений. -3-е изд., </w:t>
      </w:r>
      <w:r>
        <w:rPr>
          <w:color w:val="000000"/>
          <w:sz w:val="28"/>
          <w:szCs w:val="28"/>
        </w:rPr>
        <w:t xml:space="preserve">испр</w:t>
      </w:r>
      <w:r>
        <w:rPr>
          <w:color w:val="000000"/>
          <w:sz w:val="28"/>
          <w:szCs w:val="28"/>
        </w:rPr>
        <w:t xml:space="preserve">. и доп. – Стереотипное издание. –М.:Альянс,2020.-392с.,ил.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>
        <w:rPr>
          <w:sz w:val="28"/>
          <w:szCs w:val="28"/>
        </w:rPr>
        <w:t xml:space="preserve">. Электронно-библиотечная система [Электронный ресурс] – режим доступа: для авторизованных пользователей — </w:t>
      </w:r>
      <w:r>
        <w:rPr>
          <w:sz w:val="28"/>
          <w:szCs w:val="28"/>
        </w:rPr>
        <w:t xml:space="preserve">http</w:t>
      </w:r>
      <w:r>
        <w:rPr>
          <w:sz w:val="28"/>
          <w:szCs w:val="28"/>
          <w:lang w:val="en-US"/>
        </w:rPr>
        <w:t xml:space="preserve">s</w:t>
      </w:r>
      <w:r>
        <w:rPr>
          <w:sz w:val="28"/>
          <w:szCs w:val="28"/>
        </w:rPr>
        <w:t xml:space="preserve">://znanium.com/ (2025).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>
        <w:rPr>
          <w:sz w:val="28"/>
          <w:szCs w:val="28"/>
        </w:rPr>
        <w:t xml:space="preserve">. Библиотека </w:t>
      </w:r>
      <w:r>
        <w:rPr>
          <w:sz w:val="28"/>
          <w:szCs w:val="28"/>
        </w:rPr>
        <w:t xml:space="preserve">ГОСТов</w:t>
      </w:r>
      <w:r>
        <w:rPr>
          <w:sz w:val="28"/>
          <w:szCs w:val="28"/>
        </w:rPr>
        <w:t xml:space="preserve"> [Электронный ресурс] – режим доступа: </w:t>
      </w:r>
      <w:r>
        <w:rPr>
          <w:sz w:val="28"/>
          <w:szCs w:val="28"/>
          <w:lang w:val="en-US"/>
        </w:rPr>
        <w:t xml:space="preserve">htpp</w:t>
      </w:r>
      <w:r>
        <w:rPr>
          <w:sz w:val="28"/>
          <w:szCs w:val="28"/>
        </w:rPr>
        <w:t xml:space="preserve">://</w:t>
      </w:r>
      <w:r>
        <w:rPr>
          <w:sz w:val="28"/>
          <w:szCs w:val="28"/>
          <w:lang w:val="en-US"/>
        </w:rPr>
        <w:t xml:space="preserve">vegost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com</w:t>
      </w:r>
      <w:r>
        <w:rPr>
          <w:sz w:val="28"/>
          <w:szCs w:val="28"/>
        </w:rPr>
        <w:t xml:space="preserve">/ (2025)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firstLine="840"/>
        <w:rPr>
          <w:sz w:val="28"/>
          <w:szCs w:val="28"/>
        </w:rPr>
      </w:pPr>
      <w:r>
        <w:rPr>
          <w:b/>
          <w:sz w:val="28"/>
          <w:szCs w:val="28"/>
        </w:rPr>
        <w:t xml:space="preserve">4. КОНТРОЛЬ И ОЦЕНКА РЕЗЛЬТАТОВ ОСВОЕНИЯ УЧЕБНОЙ ДИСЦИПЛИНЫ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9397" w:type="dxa"/>
        <w:tblCellSpacing w:w="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57"/>
        <w:gridCol w:w="4144"/>
        <w:gridCol w:w="2456"/>
      </w:tblGrid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Результаты обучения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4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освоенности компетенций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Методы оценки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Законы, методы и приемы проекционного черчения; Правила выполнения и чтения конструкторской и технологической документации;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оформления чертежей, геометрические построения и правила вычерчивания технических деталей;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графического представления технологического оборудования и выполнения технологических схем;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стандартов Единой системы конструкторской документации (далее ЕСКД) и Единой системы технологической документации (далее ЕСТД) к оформлению и составлению чертежей и схем.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4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способы проецирования геометрических тел, способы преобразования проекций, назначение аксонометрических проекций;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Выбирает аксонометрические проекции для конкретного геометрического тела;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 натуральную величину фигуры сечения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конструкторской и технологической документации изделия определяет необходимые данные для его изготовления, контроля, приемки, эксплуатации и ремонта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правила выполнения чертежей, технических рисунков, эскизов и схем;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Выбирает соответствующее правило для выполнения чертежа определенной детали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способы графического представления объектов;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условные обозначения; выполняет технологические схемы, подбирая условные обозначения элементов схем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требования государственных стандартов ЕСКД и ЕСТД;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заданным параметрам выполняет чертежи в соответствии с требованиями с ЕСКД, ЕСТД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Экспертное наблюдение выполнения практических работ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чертежи технических деталей в ручной и машинной графике;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чертежи и схемы;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действующей нормативно-технической документацией.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 Оформлять технологическую и конструкторскую документацию 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24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заданным параметрам составляет технологические схемы по специальности и выполняет их в ручной и машинной графике;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Расшифровывает условные обозначения на технологических схемах;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выполнении чертежей оборудования выбирает масштаб; компоновку чертежа; минимальное количество видов, разрезов; демонстрирует составные части изделия и заносит их в таблицу перечня элементов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Выполняет по алгоритму комплексный чертеж геометрического тела в ручной и машинной графике;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 проекции точек, используя дополнительные построения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Выбирает масштаб;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 минимальное количество видов и разрезов; определяет главный вид;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 чертеж в соответствии с требованиями ЕСКД в ручной и машинной графике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изображению представляет и называет пространственную форму,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Устанавливает ее размеры и выявляет все данные необходимые для изготовления и </w:t>
            </w:r>
            <w:r>
              <w:rPr>
                <w:sz w:val="20"/>
                <w:szCs w:val="20"/>
              </w:rPr>
              <w:t xml:space="preserve">контроля изображенного предмета и заносит их в таблицу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заданному алгоритму оформляет проектно-конструкторскую, технологическую и другую техническую документацию в соответствии с действующей нормативной базой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/>
      <w:jc w:val="right"/>
      <w:rPr/>
    </w:pPr>
    <w:r/>
    <w:r/>
  </w:p>
  <w:p>
    <w:pPr>
      <w:pStyle w:val="95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7</w:t>
    </w:r>
    <w:r>
      <w:fldChar w:fldCharType="end"/>
    </w:r>
    <w:r/>
  </w:p>
  <w:p>
    <w:pPr>
      <w:pStyle w:val="957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framePr w:hAnchor="margin" w:vAnchor="text" w:wrap="around" w:xAlign="right" w:y="1"/>
      <w:pBdr/>
      <w:spacing/>
      <w:ind/>
      <w:rPr>
        <w:rStyle w:val="958"/>
      </w:rPr>
    </w:pPr>
    <w:r>
      <w:rPr>
        <w:rStyle w:val="958"/>
      </w:rPr>
      <w:fldChar w:fldCharType="begin"/>
    </w:r>
    <w:r>
      <w:rPr>
        <w:rStyle w:val="958"/>
      </w:rPr>
      <w:instrText xml:space="preserve">PAGE  </w:instrText>
    </w:r>
    <w:r>
      <w:rPr>
        <w:rStyle w:val="958"/>
      </w:rPr>
      <w:fldChar w:fldCharType="end"/>
    </w:r>
    <w:r>
      <w:rPr>
        <w:rStyle w:val="958"/>
      </w:rPr>
    </w:r>
    <w:r>
      <w:rPr>
        <w:rStyle w:val="958"/>
      </w:rPr>
    </w:r>
  </w:p>
  <w:p>
    <w:pPr>
      <w:pStyle w:val="957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5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0" w:left="780"/>
      </w:pPr>
      <w:rPr/>
      <w:start w:val="1"/>
      <w:suff w:val="tab"/>
    </w:lvl>
    <w:lvl w:ilvl="2">
      <w:isLgl w:val="false"/>
      <w:lvlJc w:val="left"/>
      <w:lvlText w:val="%1.%2.%3"/>
      <w:numFmt w:val="decimalZero"/>
      <w:pPr>
        <w:pBdr/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52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0"/>
  </w:num>
  <w:num w:numId="5">
    <w:abstractNumId w:val="14"/>
  </w:num>
  <w:num w:numId="6">
    <w:abstractNumId w:val="6"/>
  </w:num>
  <w:num w:numId="7">
    <w:abstractNumId w:val="1"/>
  </w:num>
  <w:num w:numId="8">
    <w:abstractNumId w:val="9"/>
  </w:num>
  <w:num w:numId="9">
    <w:abstractNumId w:val="19"/>
  </w:num>
  <w:num w:numId="10">
    <w:abstractNumId w:val="7"/>
  </w:num>
  <w:num w:numId="11">
    <w:abstractNumId w:val="11"/>
  </w:num>
  <w:num w:numId="12">
    <w:abstractNumId w:val="18"/>
  </w:num>
  <w:num w:numId="13">
    <w:abstractNumId w:val="8"/>
  </w:num>
  <w:num w:numId="14">
    <w:abstractNumId w:val="16"/>
  </w:num>
  <w:num w:numId="15">
    <w:abstractNumId w:val="3"/>
  </w:num>
  <w:num w:numId="16">
    <w:abstractNumId w:val="5"/>
  </w:num>
  <w:num w:numId="17">
    <w:abstractNumId w:val="4"/>
  </w:num>
  <w:num w:numId="18">
    <w:abstractNumId w:val="12"/>
  </w:num>
  <w:num w:numId="19">
    <w:abstractNumId w:val="15"/>
  </w:num>
  <w:num w:numId="20">
    <w:abstractNumId w:val="17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Quote Char"/>
    <w:basedOn w:val="767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Intense Quote Char"/>
    <w:basedOn w:val="767"/>
    <w:link w:val="9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1">
    <w:name w:val="Footnote Text Char"/>
    <w:basedOn w:val="767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762">
    <w:name w:val="Endnote Text Char"/>
    <w:basedOn w:val="767"/>
    <w:link w:val="938"/>
    <w:uiPriority w:val="99"/>
    <w:semiHidden/>
    <w:pPr>
      <w:pBdr/>
      <w:spacing/>
      <w:ind/>
    </w:pPr>
    <w:rPr>
      <w:sz w:val="20"/>
      <w:szCs w:val="20"/>
    </w:rPr>
  </w:style>
  <w:style w:type="paragraph" w:styleId="763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64">
    <w:name w:val="Heading 1"/>
    <w:basedOn w:val="763"/>
    <w:next w:val="763"/>
    <w:qFormat/>
    <w:pPr>
      <w:keepNext w:val="true"/>
      <w:pBdr/>
      <w:spacing/>
      <w:ind w:firstLine="284"/>
      <w:outlineLvl w:val="0"/>
    </w:pPr>
  </w:style>
  <w:style w:type="paragraph" w:styleId="765">
    <w:name w:val="Heading 2"/>
    <w:basedOn w:val="763"/>
    <w:next w:val="763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6">
    <w:name w:val="Heading 3"/>
    <w:basedOn w:val="763"/>
    <w:next w:val="763"/>
    <w:link w:val="962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table" w:styleId="770">
    <w:name w:val="Table Grid"/>
    <w:basedOn w:val="768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Table Grid Light"/>
    <w:basedOn w:val="76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Plain Table 1"/>
    <w:basedOn w:val="768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Plain Table 2"/>
    <w:basedOn w:val="768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 w:customStyle="1">
    <w:name w:val="Heading 2"/>
    <w:basedOn w:val="763"/>
    <w:next w:val="763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97" w:customStyle="1">
    <w:name w:val="Heading 3"/>
    <w:basedOn w:val="763"/>
    <w:next w:val="763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98" w:customStyle="1">
    <w:name w:val="Heading 4"/>
    <w:basedOn w:val="763"/>
    <w:next w:val="763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99" w:customStyle="1">
    <w:name w:val="Heading 5"/>
    <w:basedOn w:val="763"/>
    <w:next w:val="763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00" w:customStyle="1">
    <w:name w:val="Heading 6"/>
    <w:basedOn w:val="763"/>
    <w:next w:val="763"/>
    <w:link w:val="90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 w:customStyle="1">
    <w:name w:val="Heading 7"/>
    <w:basedOn w:val="763"/>
    <w:next w:val="763"/>
    <w:link w:val="91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 w:customStyle="1">
    <w:name w:val="Heading 8"/>
    <w:basedOn w:val="763"/>
    <w:next w:val="763"/>
    <w:link w:val="91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 w:customStyle="1">
    <w:name w:val="Heading 9"/>
    <w:basedOn w:val="763"/>
    <w:next w:val="763"/>
    <w:link w:val="91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customStyle="1">
    <w:name w:val="Heading 1 Char"/>
    <w:basedOn w:val="767"/>
    <w:link w:val="9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05" w:customStyle="1">
    <w:name w:val="Heading 2 Char"/>
    <w:basedOn w:val="767"/>
    <w:link w:val="89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6" w:customStyle="1">
    <w:name w:val="Heading 3 Char"/>
    <w:basedOn w:val="767"/>
    <w:link w:val="89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7" w:customStyle="1">
    <w:name w:val="Heading 4 Char"/>
    <w:basedOn w:val="767"/>
    <w:link w:val="89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8" w:customStyle="1">
    <w:name w:val="Heading 5 Char"/>
    <w:basedOn w:val="767"/>
    <w:link w:val="89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9" w:customStyle="1">
    <w:name w:val="Heading 6 Char"/>
    <w:basedOn w:val="767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 w:customStyle="1">
    <w:name w:val="Heading 7 Char"/>
    <w:basedOn w:val="767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 w:customStyle="1">
    <w:name w:val="Heading 8 Char"/>
    <w:basedOn w:val="767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 w:customStyle="1">
    <w:name w:val="Heading 9 Char"/>
    <w:basedOn w:val="767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Title"/>
    <w:basedOn w:val="763"/>
    <w:link w:val="964"/>
    <w:qFormat/>
    <w:pPr>
      <w:pBdr/>
      <w:spacing/>
      <w:ind w:firstLine="708"/>
      <w:jc w:val="center"/>
    </w:pPr>
    <w:rPr>
      <w:b/>
      <w:lang w:val="en-US" w:eastAsia="en-US"/>
    </w:rPr>
  </w:style>
  <w:style w:type="character" w:styleId="914" w:customStyle="1">
    <w:name w:val="Title Char"/>
    <w:basedOn w:val="767"/>
    <w:link w:val="9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763"/>
    <w:next w:val="763"/>
    <w:link w:val="972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character" w:styleId="916" w:customStyle="1">
    <w:name w:val="Subtitle Char"/>
    <w:basedOn w:val="767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763"/>
    <w:next w:val="763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 w:customStyle="1">
    <w:name w:val="Цитата 2 Знак"/>
    <w:basedOn w:val="767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9">
    <w:name w:val="List Paragraph"/>
    <w:basedOn w:val="763"/>
    <w:link w:val="974"/>
    <w:qFormat/>
    <w:pPr>
      <w:pBdr/>
      <w:spacing/>
      <w:ind w:left="720"/>
      <w:contextualSpacing w:val="true"/>
    </w:pPr>
    <w:rPr>
      <w:lang w:val="en-US" w:eastAsia="en-US"/>
    </w:rPr>
  </w:style>
  <w:style w:type="character" w:styleId="920">
    <w:name w:val="Intense Emphasis"/>
    <w:basedOn w:val="76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21">
    <w:name w:val="Intense Quote"/>
    <w:basedOn w:val="763"/>
    <w:next w:val="763"/>
    <w:link w:val="9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22" w:customStyle="1">
    <w:name w:val="Выделенная цитата Знак"/>
    <w:basedOn w:val="767"/>
    <w:link w:val="9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23">
    <w:name w:val="Intense Reference"/>
    <w:basedOn w:val="76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24">
    <w:name w:val="No Spacing"/>
    <w:basedOn w:val="763"/>
    <w:uiPriority w:val="1"/>
    <w:qFormat/>
    <w:pPr>
      <w:pBdr/>
      <w:spacing/>
      <w:ind/>
    </w:pPr>
  </w:style>
  <w:style w:type="character" w:styleId="925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Emphasis"/>
    <w:qFormat/>
    <w:pPr>
      <w:pBdr/>
      <w:spacing/>
      <w:ind/>
    </w:pPr>
    <w:rPr>
      <w:rFonts w:ascii="Times New Roman" w:hAnsi="Times New Roman" w:cs="Times New Roman"/>
      <w:i/>
    </w:rPr>
  </w:style>
  <w:style w:type="character" w:styleId="927">
    <w:name w:val="Strong"/>
    <w:uiPriority w:val="22"/>
    <w:qFormat/>
    <w:pPr>
      <w:pBdr/>
      <w:spacing/>
      <w:ind/>
    </w:pPr>
    <w:rPr>
      <w:b/>
      <w:bCs/>
    </w:rPr>
  </w:style>
  <w:style w:type="character" w:styleId="928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9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0" w:customStyle="1">
    <w:name w:val="Header"/>
    <w:basedOn w:val="763"/>
    <w:link w:val="93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31" w:customStyle="1">
    <w:name w:val="Header Char"/>
    <w:basedOn w:val="767"/>
    <w:link w:val="930"/>
    <w:uiPriority w:val="99"/>
    <w:pPr>
      <w:pBdr/>
      <w:spacing/>
      <w:ind/>
    </w:pPr>
  </w:style>
  <w:style w:type="paragraph" w:styleId="932" w:customStyle="1">
    <w:name w:val="Footer"/>
    <w:basedOn w:val="763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33" w:customStyle="1">
    <w:name w:val="Footer Char"/>
    <w:basedOn w:val="767"/>
    <w:link w:val="932"/>
    <w:uiPriority w:val="99"/>
    <w:pPr>
      <w:pBdr/>
      <w:spacing/>
      <w:ind/>
    </w:pPr>
  </w:style>
  <w:style w:type="paragraph" w:styleId="934" w:customStyle="1">
    <w:name w:val="Caption"/>
    <w:basedOn w:val="763"/>
    <w:next w:val="76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35">
    <w:name w:val="footnote text"/>
    <w:basedOn w:val="763"/>
    <w:link w:val="936"/>
    <w:semiHidden/>
    <w:pPr>
      <w:pBdr/>
      <w:spacing/>
      <w:ind/>
    </w:pPr>
    <w:rPr>
      <w:sz w:val="20"/>
      <w:szCs w:val="20"/>
    </w:rPr>
  </w:style>
  <w:style w:type="character" w:styleId="936" w:customStyle="1">
    <w:name w:val="Текст сноски Знак"/>
    <w:basedOn w:val="767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footnote reference"/>
    <w:semiHidden/>
    <w:pPr>
      <w:pBdr/>
      <w:spacing/>
      <w:ind/>
    </w:pPr>
    <w:rPr>
      <w:vertAlign w:val="superscript"/>
    </w:rPr>
  </w:style>
  <w:style w:type="paragraph" w:styleId="938">
    <w:name w:val="endnote text"/>
    <w:basedOn w:val="763"/>
    <w:link w:val="9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9" w:customStyle="1">
    <w:name w:val="Текст концевой сноски Знак"/>
    <w:basedOn w:val="767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character" w:styleId="941">
    <w:name w:val="Hyperlink"/>
    <w:link w:val="977"/>
    <w:uiPriority w:val="99"/>
    <w:pPr>
      <w:pBdr/>
      <w:spacing/>
      <w:ind/>
    </w:pPr>
    <w:rPr>
      <w:color w:val="0000ff"/>
      <w:u w:val="single"/>
    </w:rPr>
  </w:style>
  <w:style w:type="character" w:styleId="942">
    <w:name w:val="FollowedHyperlink"/>
    <w:pPr>
      <w:pBdr/>
      <w:spacing/>
      <w:ind/>
    </w:pPr>
    <w:rPr>
      <w:color w:val="800080"/>
      <w:u w:val="single"/>
    </w:r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763"/>
    <w:next w:val="763"/>
    <w:uiPriority w:val="99"/>
    <w:unhideWhenUsed/>
    <w:pPr>
      <w:pBdr/>
      <w:spacing/>
      <w:ind/>
    </w:pPr>
  </w:style>
  <w:style w:type="paragraph" w:styleId="945">
    <w:name w:val="Normal (Web)"/>
    <w:basedOn w:val="763"/>
    <w:pPr>
      <w:pBdr/>
      <w:spacing w:after="100" w:afterAutospacing="1" w:before="100" w:beforeAutospacing="1"/>
      <w:ind/>
    </w:pPr>
  </w:style>
  <w:style w:type="paragraph" w:styleId="946">
    <w:name w:val="List 2"/>
    <w:basedOn w:val="763"/>
    <w:pPr>
      <w:pBdr/>
      <w:spacing/>
      <w:ind w:hanging="283" w:left="566"/>
    </w:pPr>
  </w:style>
  <w:style w:type="paragraph" w:styleId="947">
    <w:name w:val="Body Text Indent 2"/>
    <w:basedOn w:val="763"/>
    <w:pPr>
      <w:pBdr/>
      <w:spacing w:after="120" w:line="480" w:lineRule="auto"/>
      <w:ind w:left="283"/>
    </w:pPr>
  </w:style>
  <w:style w:type="paragraph" w:styleId="948">
    <w:name w:val="Balloon Text"/>
    <w:basedOn w:val="76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9">
    <w:name w:val="Body Text 2"/>
    <w:basedOn w:val="763"/>
    <w:pPr>
      <w:pBdr/>
      <w:spacing w:after="120" w:line="480" w:lineRule="auto"/>
      <w:ind/>
    </w:pPr>
  </w:style>
  <w:style w:type="paragraph" w:styleId="950">
    <w:name w:val="Body Text"/>
    <w:basedOn w:val="763"/>
    <w:link w:val="951"/>
    <w:pPr>
      <w:pBdr/>
      <w:spacing w:after="120"/>
      <w:ind/>
    </w:pPr>
  </w:style>
  <w:style w:type="character" w:styleId="951" w:customStyle="1">
    <w:name w:val="Основной текст Знак"/>
    <w:link w:val="950"/>
    <w:pPr>
      <w:pBdr/>
      <w:spacing/>
      <w:ind/>
    </w:pPr>
    <w:rPr>
      <w:sz w:val="24"/>
      <w:szCs w:val="24"/>
      <w:lang w:val="ru-RU" w:eastAsia="ru-RU" w:bidi="ar-SA"/>
    </w:rPr>
  </w:style>
  <w:style w:type="character" w:styleId="952">
    <w:name w:val="annotation reference"/>
    <w:semiHidden/>
    <w:pPr>
      <w:pBdr/>
      <w:spacing/>
      <w:ind/>
    </w:pPr>
    <w:rPr>
      <w:sz w:val="16"/>
      <w:szCs w:val="16"/>
    </w:rPr>
  </w:style>
  <w:style w:type="paragraph" w:styleId="953">
    <w:name w:val="annotation text"/>
    <w:basedOn w:val="763"/>
    <w:semiHidden/>
    <w:pPr>
      <w:pBdr/>
      <w:spacing/>
      <w:ind/>
    </w:pPr>
    <w:rPr>
      <w:sz w:val="20"/>
      <w:szCs w:val="20"/>
    </w:rPr>
  </w:style>
  <w:style w:type="paragraph" w:styleId="954">
    <w:name w:val="annotation subject"/>
    <w:basedOn w:val="953"/>
    <w:next w:val="953"/>
    <w:semiHidden/>
    <w:pPr>
      <w:pBdr/>
      <w:spacing/>
      <w:ind/>
    </w:pPr>
    <w:rPr>
      <w:b/>
      <w:bCs/>
    </w:rPr>
  </w:style>
  <w:style w:type="paragraph" w:styleId="955" w:customStyle="1">
    <w:name w:val="Знак"/>
    <w:basedOn w:val="763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table" w:styleId="956">
    <w:name w:val="Table Grid 1"/>
    <w:basedOn w:val="768"/>
    <w:pPr>
      <w:pBdr/>
      <w:spacing/>
      <w:ind/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7">
    <w:name w:val="Footer"/>
    <w:basedOn w:val="763"/>
    <w:link w:val="966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58">
    <w:name w:val="page number"/>
    <w:basedOn w:val="767"/>
    <w:pPr>
      <w:pBdr/>
      <w:spacing/>
      <w:ind/>
    </w:pPr>
  </w:style>
  <w:style w:type="paragraph" w:styleId="959" w:customStyle="1">
    <w:name w:val="Знак2"/>
    <w:basedOn w:val="763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60">
    <w:name w:val="Header"/>
    <w:basedOn w:val="76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61" w:customStyle="1">
    <w:name w:val="Normal1"/>
    <w:pPr>
      <w:pBdr/>
      <w:spacing w:after="100" w:before="100"/>
      <w:ind/>
    </w:pPr>
    <w:rPr>
      <w:sz w:val="24"/>
      <w:lang w:eastAsia="ru-RU"/>
    </w:rPr>
  </w:style>
  <w:style w:type="character" w:styleId="962" w:customStyle="1">
    <w:name w:val="Заголовок 3 Знак"/>
    <w:link w:val="766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63" w:customStyle="1">
    <w:name w:val="apple-converted-space"/>
    <w:basedOn w:val="767"/>
    <w:pPr>
      <w:pBdr/>
      <w:spacing/>
      <w:ind/>
    </w:pPr>
  </w:style>
  <w:style w:type="character" w:styleId="964" w:customStyle="1">
    <w:name w:val="Название Знак"/>
    <w:link w:val="913"/>
    <w:pPr>
      <w:pBdr/>
      <w:spacing/>
      <w:ind/>
    </w:pPr>
    <w:rPr>
      <w:b/>
      <w:sz w:val="24"/>
      <w:szCs w:val="24"/>
    </w:rPr>
  </w:style>
  <w:style w:type="character" w:styleId="965" w:customStyle="1">
    <w:name w:val="apple-style-span"/>
    <w:basedOn w:val="767"/>
    <w:pPr>
      <w:pBdr/>
      <w:spacing/>
      <w:ind/>
    </w:pPr>
  </w:style>
  <w:style w:type="character" w:styleId="966" w:customStyle="1">
    <w:name w:val="Нижний колонтитул Знак"/>
    <w:link w:val="957"/>
    <w:uiPriority w:val="99"/>
    <w:pPr>
      <w:pBdr/>
      <w:spacing/>
      <w:ind/>
    </w:pPr>
    <w:rPr>
      <w:sz w:val="24"/>
      <w:szCs w:val="24"/>
    </w:rPr>
  </w:style>
  <w:style w:type="paragraph" w:styleId="967" w:customStyle="1">
    <w:name w:val="Heading 1"/>
    <w:basedOn w:val="763"/>
    <w:link w:val="968"/>
    <w:qFormat/>
    <w:pPr>
      <w:pBdr/>
      <w:spacing w:after="100" w:afterAutospacing="1" w:before="100" w:beforeAutospacing="1"/>
      <w:ind/>
      <w:jc w:val="center"/>
      <w:outlineLvl w:val="0"/>
    </w:pPr>
    <w:rPr>
      <w:b/>
      <w:bCs/>
    </w:rPr>
  </w:style>
  <w:style w:type="character" w:styleId="968" w:customStyle="1">
    <w:name w:val="Заголовок 1 Знак"/>
    <w:link w:val="967"/>
    <w:pPr>
      <w:pBdr/>
      <w:spacing/>
      <w:ind/>
    </w:pPr>
    <w:rPr>
      <w:b/>
      <w:bCs/>
      <w:sz w:val="24"/>
      <w:szCs w:val="24"/>
    </w:rPr>
  </w:style>
  <w:style w:type="paragraph" w:styleId="969" w:customStyle="1">
    <w:name w:val="Обычный (веб)1"/>
    <w:basedOn w:val="763"/>
    <w:next w:val="945"/>
    <w:qFormat/>
    <w:pPr>
      <w:widowControl w:val="false"/>
      <w:pBdr/>
      <w:spacing/>
      <w:ind/>
    </w:pPr>
    <w:rPr>
      <w:lang w:val="en-US" w:eastAsia="nl-NL"/>
    </w:rPr>
  </w:style>
  <w:style w:type="paragraph" w:styleId="970" w:customStyle="1">
    <w:name w:val="Раздел 1.1"/>
    <w:basedOn w:val="915"/>
    <w:link w:val="971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971" w:customStyle="1">
    <w:name w:val="Раздел 1.1 Знак"/>
    <w:link w:val="970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</w:rPr>
  </w:style>
  <w:style w:type="character" w:styleId="972" w:customStyle="1">
    <w:name w:val="Подзаголовок Знак"/>
    <w:link w:val="915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paragraph" w:styleId="973" w:customStyle="1">
    <w:name w:val="ConsPlusNormal"/>
    <w:qFormat/>
    <w:pPr>
      <w:widowControl w:val="false"/>
      <w:pBdr/>
      <w:spacing/>
      <w:ind/>
    </w:pPr>
    <w:rPr>
      <w:rFonts w:ascii="Arial" w:hAnsi="Arial" w:cs="Arial"/>
      <w:lang w:eastAsia="ru-RU"/>
    </w:rPr>
  </w:style>
  <w:style w:type="character" w:styleId="974" w:customStyle="1">
    <w:name w:val="Абзац списка Знак"/>
    <w:link w:val="919"/>
    <w:qFormat/>
    <w:pPr>
      <w:pBdr/>
      <w:spacing/>
      <w:ind/>
    </w:pPr>
    <w:rPr>
      <w:sz w:val="24"/>
      <w:szCs w:val="24"/>
    </w:rPr>
  </w:style>
  <w:style w:type="paragraph" w:styleId="975" w:customStyle="1">
    <w:name w:val="Раздел 1"/>
    <w:basedOn w:val="967"/>
    <w:link w:val="976"/>
    <w:qFormat/>
    <w:pPr>
      <w:keepNext w:val="true"/>
      <w:pBdr/>
      <w:spacing w:after="120" w:afterAutospacing="0" w:before="0" w:beforeAutospacing="0"/>
      <w:ind/>
    </w:pPr>
    <w:rPr>
      <w:rFonts w:ascii="Times New Roman Полужирный" w:hAnsi="Times New Roman Полужирный" w:eastAsia="Segoe UI"/>
      <w:caps/>
    </w:rPr>
  </w:style>
  <w:style w:type="character" w:styleId="976" w:customStyle="1">
    <w:name w:val="Раздел 1 Знак"/>
    <w:link w:val="975"/>
    <w:pPr>
      <w:pBdr/>
      <w:spacing/>
      <w:ind/>
    </w:pPr>
    <w:rPr>
      <w:rFonts w:ascii="Times New Roman Полужирный" w:hAnsi="Times New Roman Полужирный" w:eastAsia="Segoe UI"/>
      <w:b/>
      <w:bCs/>
      <w:caps/>
      <w:sz w:val="24"/>
      <w:szCs w:val="24"/>
    </w:rPr>
  </w:style>
  <w:style w:type="paragraph" w:styleId="977" w:customStyle="1">
    <w:name w:val="Гиперссылка2"/>
    <w:basedOn w:val="763"/>
    <w:link w:val="941"/>
    <w:uiPriority w:val="99"/>
    <w:pPr>
      <w:pBdr/>
      <w:spacing/>
      <w:ind/>
    </w:pPr>
    <w:rPr>
      <w:color w:val="0000ff"/>
      <w:sz w:val="20"/>
      <w:szCs w:val="20"/>
      <w:u w:val="single"/>
      <w:lang w:val="en-US" w:eastAsia="en-US"/>
    </w:rPr>
  </w:style>
  <w:style w:type="paragraph" w:styleId="978" w:customStyle="1">
    <w:name w:val="Table Paragraph"/>
    <w:basedOn w:val="763"/>
    <w:uiPriority w:val="1"/>
    <w:qFormat/>
    <w:pPr>
      <w:widowControl w:val="false"/>
      <w:pBdr/>
      <w:spacing/>
      <w:ind/>
    </w:pPr>
    <w:rPr>
      <w:sz w:val="22"/>
      <w:szCs w:val="22"/>
      <w:lang w:eastAsia="en-US"/>
    </w:rPr>
  </w:style>
  <w:style w:type="paragraph" w:styleId="979" w:customStyle="1">
    <w:name w:val="western"/>
    <w:basedOn w:val="763"/>
    <w:pPr>
      <w:pBdr/>
      <w:spacing w:after="142" w:before="100" w:beforeAutospacing="1" w:line="276" w:lineRule="auto"/>
      <w:ind/>
    </w:pPr>
    <w:rPr>
      <w:sz w:val="20"/>
      <w:szCs w:val="20"/>
    </w:rPr>
  </w:style>
  <w:style w:type="table" w:styleId="980" w:customStyle="1">
    <w:name w:val="Сетка таблицы1"/>
    <w:basedOn w:val="768"/>
    <w:next w:val="770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F769-90F9-4B80-876B-15575FF5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ФИРО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Альметова Лилия Илфатовна</cp:lastModifiedBy>
  <cp:revision>4</cp:revision>
  <dcterms:created xsi:type="dcterms:W3CDTF">2025-04-08T20:19:00Z</dcterms:created>
  <dcterms:modified xsi:type="dcterms:W3CDTF">2025-04-10T10:34:48Z</dcterms:modified>
  <cp:version>1048576</cp:version>
</cp:coreProperties>
</file>