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952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>
        <w:trPr/>
        <w:tc>
          <w:tcPr>
            <w:tcBorders/>
            <w:tcW w:w="4962" w:type="dxa"/>
            <w:textDirection w:val="lrTb"/>
            <w:noWrap w:val="false"/>
          </w:tcPr>
          <w:p>
            <w:pPr>
              <w:pStyle w:val="950"/>
              <w:pBdr/>
              <w:spacing/>
              <w:ind/>
              <w:rPr>
                <w:sz w:val="30"/>
              </w:rPr>
            </w:pPr>
            <w:r>
              <w:rPr>
                <w:b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304380" cy="1286510"/>
                      <wp:effectExtent l="0" t="0" r="0" b="889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41881" cy="13400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260.19pt;height:101.30pt;mso-wrap-distance-left:0.00pt;mso-wrap-distance-top:0.00pt;mso-wrap-distance-right:0.00pt;mso-wrap-distance-bottom:0.00pt;z-index:1;" stroked="false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30"/>
              </w:rPr>
            </w:r>
            <w:r>
              <w:rPr>
                <w:sz w:val="30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  <w:r>
              <w:rPr>
                <w:sz w:val="30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ОПИСАНИЕ КОМПЕТЕНЦИИ</w:t>
      </w: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«</w:t>
      </w:r>
      <w:r>
        <w:rPr>
          <w:rFonts w:ascii="Times New Roman" w:hAnsi="Times New Roman" w:cs="Times New Roman"/>
          <w:sz w:val="72"/>
          <w:szCs w:val="72"/>
        </w:rPr>
        <w:t xml:space="preserve">ПРОГРАММНЫЕ РЕШЕНИЯ ДЛЯ БИЗНЕСА</w:t>
      </w:r>
      <w:r>
        <w:rPr>
          <w:rFonts w:ascii="Times New Roman" w:hAnsi="Times New Roman" w:cs="Times New Roman"/>
          <w:sz w:val="72"/>
          <w:szCs w:val="72"/>
        </w:rPr>
        <w:t xml:space="preserve">»</w:t>
      </w: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76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Наименование компетенции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Программные решения для бизнеса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Формат участия в соревновании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: </w:t>
      </w:r>
      <w:r>
        <w:rPr>
          <w:rFonts w:ascii="Times New Roman" w:hAnsi="Times New Roman" w:eastAsia="Calibri" w:cs="Times New Roman"/>
          <w:sz w:val="28"/>
          <w:szCs w:val="28"/>
          <w:u w:val="single"/>
        </w:rPr>
        <w:t xml:space="preserve">индивидуальный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Описание компетенции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Программист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специалист, занимающийся разработкой, тестированием и поддержкой программного обеспечения. Основные задачи программиста включают написание кода, анализ требований пользо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вателей, проектирование архитектуры программных систем и устранение ошибок. Программисты могут специализироваться в различных областях, таких как веб-разработка, разработка мобильных приложений, системное программирование, искусственный интеллект и другие.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последние годы профессия программиста становится все более актуальной в России. С развитием цифровой экономики и внедрением новых технологий практически во всех отраслях, потребность в квалифицированных IT-специалистах значительно возросла. 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сударственные программы по цифровизации, такие как "Цифровая экономика", способствуют созданию новых рабочих мест и развитию стартапов в сфере технологий. Программисты востребованы в таких областях, как финансы, здравоохранение, образование и производство.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Профессиональная деятельность программиста требует высокой степени аналитического мышления и способности к решению проблем. Программисты часто работают в команде с другими специалистами, такими как аналитики, дизайнеры и тестировщики.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Задачи, выполняемые профессионалами в области программных решений, в числе прочего включают следующее: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944"/>
        <w:numPr>
          <w:ilvl w:val="0"/>
          <w:numId w:val="18"/>
        </w:numPr>
        <w:pBdr/>
        <w:spacing w:after="0"/>
        <w:ind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анализ существующей системы и представление идей усовершенствованию, включая анализ экономической эффективности;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44"/>
        <w:numPr>
          <w:ilvl w:val="0"/>
          <w:numId w:val="18"/>
        </w:numPr>
        <w:pBdr/>
        <w:spacing w:after="0"/>
        <w:ind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анализ и уточнение требований пользователей;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44"/>
        <w:numPr>
          <w:ilvl w:val="0"/>
          <w:numId w:val="18"/>
        </w:numPr>
        <w:pBdr/>
        <w:spacing w:after="0"/>
        <w:ind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составление детальных спецификаций для разработки новых систем или для модернизации существующих систем;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44"/>
        <w:numPr>
          <w:ilvl w:val="0"/>
          <w:numId w:val="18"/>
        </w:numPr>
        <w:pBdr/>
        <w:spacing w:after="0"/>
        <w:ind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разработку программных систем и тестирование программных решений;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44"/>
        <w:numPr>
          <w:ilvl w:val="0"/>
          <w:numId w:val="18"/>
        </w:numPr>
        <w:pBdr/>
        <w:spacing w:after="0"/>
        <w:ind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интеграцию нескольких систем и программного обеспечения в соответствии с отраслевыми требованиями;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44"/>
        <w:numPr>
          <w:ilvl w:val="0"/>
          <w:numId w:val="18"/>
        </w:numPr>
        <w:pBdr/>
        <w:spacing w:after="0"/>
        <w:ind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подготовку обучающих материалов для пользователей, обучение пользователей и демонстрацию программного решения пользователям;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44"/>
        <w:numPr>
          <w:ilvl w:val="0"/>
          <w:numId w:val="18"/>
        </w:numPr>
        <w:pBdr/>
        <w:spacing w:after="0"/>
        <w:ind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установку, развертывание и обслуживание программной системы.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Профессионалы в области программных решений могут быть приняты на работу в крупные, средние и малые предприятия в качестве разработчиков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ПО, в компании, выпускающие ПО, в качестве подрядчиков, в консалтинговые фирмы.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Они могут работать в разных ролях, в том числе в роли разработчика, позволяющего адаптировать или настраивать программные реш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ения, в роли службы поддержки при работе с системами, в роли бизнес-аналитика для предоставления решений, упрощающих и автоматизирующих рутинные офисные и бизнес-процессы, а также в роли тренера для обучения пользователей применению прикладных программ.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keepNext w:val="true"/>
        <w:pBdr/>
        <w:spacing w:after="0" w:line="276" w:lineRule="auto"/>
        <w:ind/>
        <w:jc w:val="both"/>
        <w:outlineLvl w:val="1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/>
      <w:bookmarkStart w:id="1" w:name="_Toc123113308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Нормативные правовые акты</w:t>
      </w:r>
      <w:bookmarkEnd w:id="1"/>
      <w:r>
        <w:rPr>
          <w:rFonts w:ascii="Times New Roman" w:hAnsi="Times New Roman" w:eastAsia="Times New Roman" w:cs="Times New Roman"/>
          <w:b/>
          <w:caps/>
          <w:sz w:val="28"/>
          <w:szCs w:val="28"/>
        </w:rPr>
      </w:r>
      <w:r>
        <w:rPr>
          <w:rFonts w:ascii="Times New Roman" w:hAnsi="Times New Roman" w:eastAsia="Times New Roman" w:cs="Times New Roman"/>
          <w:b/>
          <w:caps/>
          <w:sz w:val="28"/>
          <w:szCs w:val="28"/>
        </w:rPr>
      </w:r>
    </w:p>
    <w:p>
      <w:pPr>
        <w:pBdr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Поскольку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Описание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1"/>
        </w:numPr>
        <w:pBdr/>
        <w:spacing w:after="0" w:line="276" w:lineRule="auto"/>
        <w:ind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ФГОС СПО.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numPr>
          <w:ilvl w:val="3"/>
          <w:numId w:val="17"/>
        </w:numPr>
        <w:pBdr/>
        <w:spacing w:after="0" w:line="276" w:lineRule="auto"/>
        <w:ind w:left="1134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09.02.07 «Информационные системы и программирование»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Приказ Министерства образования и науки РФ от 09.12.2016 № 1547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 (с изм.</w:t>
      </w:r>
      <w:r>
        <w:rPr>
          <w:rFonts w:ascii="PT Serif" w:hAnsi="PT Serif"/>
          <w:color w:val="464c55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17 декабря 2020 г., 1 сентября 2022 г., 3 июля 2024 г.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numPr>
          <w:ilvl w:val="3"/>
          <w:numId w:val="17"/>
        </w:numPr>
        <w:pBdr/>
        <w:spacing w:after="0" w:line="276" w:lineRule="auto"/>
        <w:ind w:left="1134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09</w:t>
      </w:r>
      <w:r>
        <w:rPr>
          <w:rFonts w:ascii="Times New Roman" w:hAnsi="Times New Roman" w:eastAsia="Calibri" w:cs="Times New Roman"/>
          <w:i/>
          <w:iCs/>
          <w:sz w:val="28"/>
          <w:szCs w:val="28"/>
        </w:rPr>
        <w:t xml:space="preserve">.02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.08 «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Интеллектуальные интегрированные системы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Приказ Мин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истерства П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росвещения России от 12.12.2022 N 1095 (ред. от 03.07.2024)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</w:p>
    <w:p>
      <w:pPr>
        <w:numPr>
          <w:ilvl w:val="3"/>
          <w:numId w:val="17"/>
        </w:numPr>
        <w:pBdr/>
        <w:spacing w:after="0" w:line="276" w:lineRule="auto"/>
        <w:ind w:left="1134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09.02.09 «Веб-разработка»,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Приказ Министерства просвещения Российской Федерации от 21.11.2023 № 879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</w:p>
    <w:p>
      <w:pPr>
        <w:numPr>
          <w:ilvl w:val="0"/>
          <w:numId w:val="1"/>
        </w:numPr>
        <w:pBdr/>
        <w:spacing w:after="0" w:line="276" w:lineRule="auto"/>
        <w:ind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Профессиональный стандарт;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numPr>
          <w:ilvl w:val="2"/>
          <w:numId w:val="16"/>
        </w:numPr>
        <w:pBdr/>
        <w:spacing w:after="0" w:line="240" w:lineRule="auto"/>
        <w:ind w:left="1134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06.001 «Программист», утвержден Министерством труда и социальной защиты РФ от 20 июля 2022 года № 424н, зарегистрирован Министерством юстиции РФ от 22 августа 2022 года №69720;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</w:p>
    <w:p>
      <w:pPr>
        <w:numPr>
          <w:ilvl w:val="2"/>
          <w:numId w:val="16"/>
        </w:numPr>
        <w:pBdr/>
        <w:spacing w:after="0" w:line="240" w:lineRule="auto"/>
        <w:ind w:left="1134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06.004 «Специалист по тестированию в области информационных технологий»,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твержден приказом Министерства труда и социальной защиты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РФ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 от 02.08.2021 № 531н, зарегистрирован Министерством юстиции РФ от 3 сентября 2021 года №64866;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</w:p>
    <w:p>
      <w:pPr>
        <w:numPr>
          <w:ilvl w:val="2"/>
          <w:numId w:val="16"/>
        </w:numPr>
        <w:pBdr/>
        <w:spacing w:after="0" w:line="240" w:lineRule="auto"/>
        <w:ind w:left="1134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06.004 Приказ Минтруда России от 27.04.2023 N 408н "Об утверждении профессионального стандарта "Администратор баз данных" (Зарегистрировано в Минюсте России 29.05.2023 N 73609)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</w:p>
    <w:p>
      <w:pPr>
        <w:numPr>
          <w:ilvl w:val="2"/>
          <w:numId w:val="16"/>
        </w:numPr>
        <w:pBdr/>
        <w:spacing w:after="0" w:line="240" w:lineRule="auto"/>
        <w:ind w:left="1134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06.022 Приказ Минтруда России от 27.04.2023 N 367н "Об утверждении профессионального стандарта "Системный аналитик" (Зарегистрировано в Минюсте России 25.05.2023 N 73453)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</w:p>
    <w:p>
      <w:pPr>
        <w:numPr>
          <w:ilvl w:val="2"/>
          <w:numId w:val="16"/>
        </w:numPr>
        <w:pBdr/>
        <w:spacing w:after="0" w:line="240" w:lineRule="auto"/>
        <w:ind w:left="1134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06.019 Технический писатель (Специалист по технической документации в области ИТ),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твержден Приказом Минтруда России №609н от 03.10.2022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</w:p>
    <w:p>
      <w:pPr>
        <w:numPr>
          <w:ilvl w:val="2"/>
          <w:numId w:val="16"/>
        </w:numPr>
        <w:pBdr/>
        <w:spacing w:after="0" w:line="240" w:lineRule="auto"/>
        <w:ind w:left="1134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06.025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Специалист по дизайну графических пользовательских интерфейсов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» утвержден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приказом Министерства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труда и социальной защиты Российской Федерации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от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 29.09.2020 №671н, зарегистрирован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Министерством юстиции РФ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 27.10.2020 №60591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</w:p>
    <w:p>
      <w:pPr>
        <w:numPr>
          <w:ilvl w:val="0"/>
          <w:numId w:val="1"/>
        </w:numPr>
        <w:pBdr/>
        <w:spacing w:after="0" w:line="276" w:lineRule="auto"/>
        <w:ind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ЕТКС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numPr>
          <w:ilvl w:val="2"/>
          <w:numId w:val="19"/>
        </w:numPr>
        <w:pBdr/>
        <w:spacing w:after="0" w:line="240" w:lineRule="auto"/>
        <w:ind w:left="1134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Техник-программист,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(редакция от 15.05.2013);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</w:p>
    <w:p>
      <w:pPr>
        <w:numPr>
          <w:ilvl w:val="2"/>
          <w:numId w:val="19"/>
        </w:numPr>
        <w:pBdr/>
        <w:spacing w:after="0" w:line="240" w:lineRule="auto"/>
        <w:ind w:left="1134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Инженер-программист,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(редакция от 15.05.2013)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</w:p>
    <w:p>
      <w:pPr>
        <w:numPr>
          <w:ilvl w:val="0"/>
          <w:numId w:val="1"/>
        </w:numPr>
        <w:pBdr/>
        <w:spacing w:after="0" w:line="276" w:lineRule="auto"/>
        <w:ind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Отраслевые/корпоративные стандарты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numPr>
          <w:ilvl w:val="2"/>
          <w:numId w:val="13"/>
        </w:numPr>
        <w:pBdr/>
        <w:spacing w:after="0" w:line="240" w:lineRule="auto"/>
        <w:ind w:left="1134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Соглашения о написании кода на C#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944"/>
        <w:numPr>
          <w:ilvl w:val="0"/>
          <w:numId w:val="14"/>
        </w:numPr>
        <w:pBdr/>
        <w:spacing w:after="0" w:line="240" w:lineRule="auto"/>
        <w:ind/>
        <w:jc w:val="both"/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C# Coding Conventions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;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</w:r>
    </w:p>
    <w:p>
      <w:pPr>
        <w:pStyle w:val="944"/>
        <w:numPr>
          <w:ilvl w:val="0"/>
          <w:numId w:val="14"/>
        </w:numPr>
        <w:pBdr/>
        <w:spacing w:after="0" w:line="240" w:lineRule="auto"/>
        <w:ind/>
        <w:jc w:val="both"/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C# Programming Guide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;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</w:r>
    </w:p>
    <w:p>
      <w:pPr>
        <w:pStyle w:val="944"/>
        <w:numPr>
          <w:ilvl w:val="0"/>
          <w:numId w:val="14"/>
        </w:numPr>
        <w:pBdr/>
        <w:spacing w:after="0" w:line="240" w:lineRule="auto"/>
        <w:ind/>
        <w:jc w:val="both"/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.NET Naming Guidelines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;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</w:r>
    </w:p>
    <w:p>
      <w:pPr>
        <w:pStyle w:val="944"/>
        <w:numPr>
          <w:ilvl w:val="0"/>
          <w:numId w:val="14"/>
        </w:numPr>
        <w:pBdr/>
        <w:spacing w:after="0" w:line="240" w:lineRule="auto"/>
        <w:ind/>
        <w:jc w:val="both"/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.NET Class Member Usage Guidelines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;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</w:r>
    </w:p>
    <w:p>
      <w:pPr>
        <w:pStyle w:val="944"/>
        <w:numPr>
          <w:ilvl w:val="0"/>
          <w:numId w:val="14"/>
        </w:numPr>
        <w:pBdr/>
        <w:spacing w:after="0" w:line="240" w:lineRule="auto"/>
        <w:ind/>
        <w:jc w:val="both"/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  <w:t xml:space="preserve">Framework Design 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  <w:t xml:space="preserve">Guidelines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.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</w:r>
    </w:p>
    <w:p>
      <w:pPr>
        <w:numPr>
          <w:ilvl w:val="2"/>
          <w:numId w:val="13"/>
        </w:numPr>
        <w:pBdr/>
        <w:spacing w:after="0" w:line="240" w:lineRule="auto"/>
        <w:ind w:left="1134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Соглашения о написании кода на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C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++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944"/>
        <w:numPr>
          <w:ilvl w:val="0"/>
          <w:numId w:val="15"/>
        </w:numPr>
        <w:pBdr/>
        <w:spacing w:after="0" w:line="240" w:lineRule="auto"/>
        <w:ind w:hanging="11"/>
        <w:jc w:val="both"/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C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/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C++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 Coding 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G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uidelines (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C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/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C++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 Coding Conventions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)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.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</w:r>
    </w:p>
    <w:p>
      <w:pPr>
        <w:numPr>
          <w:ilvl w:val="2"/>
          <w:numId w:val="13"/>
        </w:numPr>
        <w:pBdr/>
        <w:spacing w:after="0" w:line="240" w:lineRule="auto"/>
        <w:ind w:left="1134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Соглашения о написании кода на Java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944"/>
        <w:numPr>
          <w:ilvl w:val="0"/>
          <w:numId w:val="15"/>
        </w:numPr>
        <w:pBdr/>
        <w:spacing w:after="0" w:line="240" w:lineRule="auto"/>
        <w:ind w:hanging="11"/>
        <w:jc w:val="both"/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Java Code Style</w:t>
      </w:r>
      <w:r>
        <w:rPr>
          <w:rFonts w:ascii="stk" w:hAnsi="stk"/>
          <w:color w:val="000000"/>
          <w:sz w:val="27"/>
          <w:szCs w:val="27"/>
          <w:shd w:val="clear" w:color="auto" w:fill="ffffff"/>
          <w:lang w:val="en-US"/>
        </w:rPr>
        <w:t xml:space="preserve"> (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Java Code Conventions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)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.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</w:r>
    </w:p>
    <w:p>
      <w:pPr>
        <w:pStyle w:val="944"/>
        <w:numPr>
          <w:ilvl w:val="2"/>
          <w:numId w:val="13"/>
        </w:numPr>
        <w:pBdr/>
        <w:spacing w:after="0" w:line="240" w:lineRule="auto"/>
        <w:ind w:left="1134"/>
        <w:jc w:val="both"/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  <w:t xml:space="preserve">Соглашения о написании кода на 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Python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944"/>
        <w:numPr>
          <w:ilvl w:val="0"/>
          <w:numId w:val="15"/>
        </w:numPr>
        <w:pBdr/>
        <w:spacing w:after="0" w:line="240" w:lineRule="auto"/>
        <w:ind w:left="2268"/>
        <w:jc w:val="both"/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Style Guide for Python Code;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</w:r>
    </w:p>
    <w:p>
      <w:pPr>
        <w:pStyle w:val="944"/>
        <w:numPr>
          <w:ilvl w:val="0"/>
          <w:numId w:val="15"/>
        </w:numPr>
        <w:pBdr/>
        <w:spacing w:after="0" w:line="240" w:lineRule="auto"/>
        <w:ind w:left="2268"/>
        <w:jc w:val="both"/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Python Enhancement Proposal #8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</w:r>
    </w:p>
    <w:p>
      <w:pPr>
        <w:numPr>
          <w:ilvl w:val="2"/>
          <w:numId w:val="13"/>
        </w:numPr>
        <w:pBdr/>
        <w:spacing w:after="0" w:line="240" w:lineRule="auto"/>
        <w:ind w:left="1134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Соглашения о написании кода на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Kotlin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</w:p>
    <w:p>
      <w:pPr>
        <w:pStyle w:val="944"/>
        <w:numPr>
          <w:ilvl w:val="0"/>
          <w:numId w:val="15"/>
        </w:numPr>
        <w:pBdr/>
        <w:spacing w:after="0" w:line="240" w:lineRule="auto"/>
        <w:ind w:left="2268"/>
        <w:jc w:val="both"/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Kotlin 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Coding Conventions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 (Kotlin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 Code Style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  <w:t xml:space="preserve">).</w:t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</w:r>
      <w:r>
        <w:rPr>
          <w:rFonts w:ascii="Times New Roman" w:hAnsi="Times New Roman" w:eastAsia="Times New Roman"/>
          <w:i/>
          <w:iCs/>
          <w:color w:val="000000"/>
          <w:sz w:val="28"/>
          <w:szCs w:val="28"/>
          <w:lang w:val="en-US" w:eastAsia="ru-RU"/>
        </w:rPr>
      </w:r>
    </w:p>
    <w:p>
      <w:pPr>
        <w:numPr>
          <w:ilvl w:val="0"/>
          <w:numId w:val="1"/>
        </w:numPr>
        <w:pBdr/>
        <w:spacing w:after="0" w:line="276" w:lineRule="auto"/>
        <w:ind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Квалификационные характеристики (профессиограмма)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tbl>
      <w:tblPr>
        <w:tblStyle w:val="952"/>
        <w:tblW w:w="0" w:type="auto"/>
        <w:tblBorders/>
        <w:tblLook w:val="04A0" w:firstRow="1" w:lastRow="0" w:firstColumn="1" w:lastColumn="0" w:noHBand="0" w:noVBand="1"/>
      </w:tblPr>
      <w:tblGrid>
        <w:gridCol w:w="2122"/>
        <w:gridCol w:w="7223"/>
      </w:tblGrid>
      <w:tr>
        <w:trPr/>
        <w:tc>
          <w:tcPr>
            <w:tcBorders/>
            <w:tcW w:w="212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7223" w:type="dxa"/>
            <w:textDirection w:val="lrTb"/>
            <w:noWrap w:val="false"/>
          </w:tcPr>
          <w:p>
            <w:pPr>
              <w:pBdr/>
              <w:spacing w:line="276" w:lineRule="auto"/>
              <w:ind w:left="7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Тип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профессии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944"/>
              <w:numPr>
                <w:ilvl w:val="0"/>
                <w:numId w:val="7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Человек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Знаковая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система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44"/>
              <w:numPr>
                <w:ilvl w:val="0"/>
                <w:numId w:val="7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Человек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Bdr/>
              <w:spacing w:line="276" w:lineRule="auto"/>
              <w:ind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Класс: эвристическая профессия, т.к. связана с разработкой и созданием новых объектов.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/>
            <w:tcW w:w="2122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 w:left="3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Содержание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деятельности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/>
            <w:tcW w:w="7223" w:type="dxa"/>
            <w:textDirection w:val="lrTb"/>
            <w:noWrap w:val="false"/>
          </w:tcPr>
          <w:p>
            <w:pPr>
              <w:pBdr/>
              <w:spacing w:line="276" w:lineRule="auto"/>
              <w:ind w:left="3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Деятельность программиста направлена на разработку и обеспечение работоспособности программного обеспечения, используемого в организациях: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r>
          </w:p>
          <w:p>
            <w:pPr>
              <w:pStyle w:val="944"/>
              <w:numPr>
                <w:ilvl w:val="0"/>
                <w:numId w:val="10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разработка и обновление баз данных, используемых программным обеспечением;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44"/>
              <w:numPr>
                <w:ilvl w:val="0"/>
                <w:numId w:val="10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разработка необходимого программного обеспечения и сопровождение уже имеющегося;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44"/>
              <w:numPr>
                <w:ilvl w:val="0"/>
                <w:numId w:val="10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подготовка технической документации по разработанному программному обеспечению и пр.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Bdr/>
              <w:spacing w:line="276" w:lineRule="auto"/>
              <w:ind w:left="3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Также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программист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944"/>
              <w:numPr>
                <w:ilvl w:val="0"/>
                <w:numId w:val="10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разрабатывает технологии решения задач по обработке информации, определяет схемы и алгоритмы обработки данных, выбирает язык программирования для описания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составленных алгоритмов;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44"/>
              <w:numPr>
                <w:ilvl w:val="0"/>
                <w:numId w:val="10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занимается подготовкой программ к отладке и проведением отладки и корректировки (нахождение и устранение различных ошибок, которые, возможно, содержатся в программе);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44"/>
              <w:numPr>
                <w:ilvl w:val="0"/>
                <w:numId w:val="10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выполняет проектирование архитектуры информационной среды;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44"/>
              <w:numPr>
                <w:ilvl w:val="0"/>
                <w:numId w:val="10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глобальными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сетями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44"/>
              <w:numPr>
                <w:ilvl w:val="0"/>
                <w:numId w:val="10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разрабатывает инструкции по работе с компьютерными программами, оформляет техническую документацию и т.п.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/>
            <w:tcW w:w="2122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 w:left="3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Программист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должен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знать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/>
            <w:tcW w:w="7223" w:type="dxa"/>
            <w:textDirection w:val="lrTb"/>
            <w:noWrap w:val="false"/>
          </w:tcPr>
          <w:p>
            <w:pPr>
              <w:pStyle w:val="944"/>
              <w:numPr>
                <w:ilvl w:val="0"/>
                <w:numId w:val="8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языки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44"/>
              <w:numPr>
                <w:ilvl w:val="0"/>
                <w:numId w:val="8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разработки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обеспечени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44"/>
              <w:numPr>
                <w:ilvl w:val="0"/>
                <w:numId w:val="8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технологии проектирования и разработки систем хранения данных;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44"/>
              <w:numPr>
                <w:ilvl w:val="0"/>
                <w:numId w:val="8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компьютерную технику, принципы ее работы и эксплуатации;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44"/>
              <w:numPr>
                <w:ilvl w:val="0"/>
                <w:numId w:val="8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вычислительную технику, алгоритмы ее работы, и т.п.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/>
            <w:tcW w:w="2122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 w:left="3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Программист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должен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уметь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/>
            <w:tcW w:w="7223" w:type="dxa"/>
            <w:textDirection w:val="lrTb"/>
            <w:noWrap w:val="false"/>
          </w:tcPr>
          <w:p>
            <w:pPr>
              <w:pStyle w:val="944"/>
              <w:numPr>
                <w:ilvl w:val="0"/>
                <w:numId w:val="9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разрабатывать компоненты проектной и технической документации с использованием графических языков спецификаций;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44"/>
              <w:numPr>
                <w:ilvl w:val="0"/>
                <w:numId w:val="9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разрабатывать программные продукты (владеть различными языками программирования);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44"/>
              <w:numPr>
                <w:ilvl w:val="0"/>
                <w:numId w:val="9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оптимизацию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44"/>
              <w:numPr>
                <w:ilvl w:val="0"/>
                <w:numId w:val="9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работать с сетями, базами данных;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44"/>
              <w:numPr>
                <w:ilvl w:val="0"/>
                <w:numId w:val="9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реализовывать методы и технологии защиты информации в базах данных;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44"/>
              <w:numPr>
                <w:ilvl w:val="0"/>
                <w:numId w:val="9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осуществлять разработку тестовых наборов и тестовых сценариев;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44"/>
              <w:numPr>
                <w:ilvl w:val="0"/>
                <w:numId w:val="9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выполнять установку и настройку программного обеспечения для профессиональной деятельности.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/>
            <w:tcW w:w="2122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 w:left="3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Требования к индивидуальным особенностям специалиста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r>
          </w:p>
        </w:tc>
        <w:tc>
          <w:tcPr>
            <w:tcBorders/>
            <w:tcW w:w="7223" w:type="dxa"/>
            <w:textDirection w:val="lrTb"/>
            <w:noWrap w:val="false"/>
          </w:tcPr>
          <w:p>
            <w:pPr>
              <w:pBdr/>
              <w:spacing w:line="276" w:lineRule="auto"/>
              <w:ind w:left="3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Для успешной деятельности в качестве программиста необходимо наличие следующих профессионально-важных качеств: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r>
          </w:p>
          <w:p>
            <w:pPr>
              <w:pStyle w:val="944"/>
              <w:numPr>
                <w:ilvl w:val="0"/>
                <w:numId w:val="5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склонность к работе с информацией;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44"/>
              <w:numPr>
                <w:ilvl w:val="0"/>
                <w:numId w:val="5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логические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44"/>
              <w:numPr>
                <w:ilvl w:val="0"/>
                <w:numId w:val="5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способность к длительной концентрации внимания;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44"/>
              <w:numPr>
                <w:ilvl w:val="0"/>
                <w:numId w:val="5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хороший уровень развития памяти (в особенности словесно-логической);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44"/>
              <w:numPr>
                <w:ilvl w:val="0"/>
                <w:numId w:val="5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математические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44"/>
              <w:numPr>
                <w:ilvl w:val="0"/>
                <w:numId w:val="5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склонность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творческой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44"/>
              <w:numPr>
                <w:ilvl w:val="0"/>
                <w:numId w:val="5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44"/>
              <w:numPr>
                <w:ilvl w:val="0"/>
                <w:numId w:val="5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аккуратность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внимательность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44"/>
              <w:numPr>
                <w:ilvl w:val="0"/>
                <w:numId w:val="5"/>
              </w:numPr>
              <w:pBdr/>
              <w:spacing w:after="0" w:line="240" w:lineRule="auto"/>
              <w:ind/>
              <w:jc w:val="both"/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эмоциональная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устойчивость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/>
            <w:tcW w:w="2122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 w:left="3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Условия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труда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/>
            <w:tcW w:w="7223" w:type="dxa"/>
            <w:textDirection w:val="lrTb"/>
            <w:noWrap w:val="false"/>
          </w:tcPr>
          <w:p>
            <w:pPr>
              <w:pBdr/>
              <w:spacing w:line="276" w:lineRule="auto"/>
              <w:ind w:left="3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Индивидуальная работа/работа в коллективе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/>
            <w:tcW w:w="2122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 w:left="3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Медицинские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противопоказания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/>
            <w:tcW w:w="7223" w:type="dxa"/>
            <w:textDirection w:val="lrTb"/>
            <w:noWrap w:val="false"/>
          </w:tcPr>
          <w:p>
            <w:pPr>
              <w:pStyle w:val="944"/>
              <w:numPr>
                <w:ilvl w:val="0"/>
                <w:numId w:val="6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заболевания опорно-двигательного аппарата (полиартрит,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остеохондроз, радикулит и т.п.);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44"/>
              <w:numPr>
                <w:ilvl w:val="0"/>
                <w:numId w:val="6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нарушения зрения (сильная степень миопии);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44"/>
              <w:numPr>
                <w:ilvl w:val="0"/>
                <w:numId w:val="6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заболевания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нервной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системы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44"/>
              <w:numPr>
                <w:ilvl w:val="0"/>
                <w:numId w:val="6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расстройства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44"/>
              <w:numPr>
                <w:ilvl w:val="0"/>
                <w:numId w:val="6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расстройства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внимания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122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 w:left="3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Базовое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/>
            <w:tcW w:w="7223" w:type="dxa"/>
            <w:textDirection w:val="lrTb"/>
            <w:noWrap w:val="false"/>
          </w:tcPr>
          <w:p>
            <w:pPr>
              <w:pBdr/>
              <w:spacing/>
              <w:ind w:left="30"/>
              <w:jc w:val="both"/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Профессия программиста требует наличия среднего профессионального либо высшего образования.</w:t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Borders/>
            <w:tcW w:w="2122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 w:left="3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Пути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получения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профессии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/>
            <w:tcW w:w="7223" w:type="dxa"/>
            <w:textDirection w:val="lrTb"/>
            <w:noWrap w:val="false"/>
          </w:tcPr>
          <w:p>
            <w:pPr>
              <w:pBdr/>
              <w:spacing w:line="276" w:lineRule="auto"/>
              <w:ind w:left="3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Обучение в образовательных организациях среднего профессионального, высшего образования.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r>
          </w:p>
          <w:p>
            <w:pPr>
              <w:pBdr/>
              <w:spacing w:line="276" w:lineRule="auto"/>
              <w:ind w:left="3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Обучение в образовательных организациях дополнительного профессионального образования.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/>
            <w:tcW w:w="2122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 w:left="3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Области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применения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профессии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/>
            <w:tcW w:w="7223" w:type="dxa"/>
            <w:textDirection w:val="lrTb"/>
            <w:noWrap w:val="false"/>
          </w:tcPr>
          <w:p>
            <w:pPr>
              <w:pBdr/>
              <w:spacing/>
              <w:ind w:left="3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Программист может работать в таких организациях и сферах, как: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r>
          </w:p>
          <w:p>
            <w:pPr>
              <w:pStyle w:val="944"/>
              <w:numPr>
                <w:ilvl w:val="0"/>
                <w:numId w:val="11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вычислительные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центры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44"/>
              <w:numPr>
                <w:ilvl w:val="0"/>
                <w:numId w:val="11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предприятия и организации различного профиля;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44"/>
              <w:numPr>
                <w:ilvl w:val="0"/>
                <w:numId w:val="11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предприятия, работающие в области информационных технологий;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44"/>
              <w:numPr>
                <w:ilvl w:val="0"/>
                <w:numId w:val="11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предприятия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банковского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44"/>
              <w:numPr>
                <w:ilvl w:val="0"/>
                <w:numId w:val="11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научно-исследовательские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институты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44"/>
              <w:numPr>
                <w:ilvl w:val="0"/>
                <w:numId w:val="11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образовательные учреждения (школы, техникумы, колледжи) и пр.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Borders/>
            <w:tcW w:w="2122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 w:left="3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Перспективы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карьерного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роста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/>
            <w:tcW w:w="7223" w:type="dxa"/>
            <w:textDirection w:val="lrTb"/>
            <w:noWrap w:val="false"/>
          </w:tcPr>
          <w:p>
            <w:pPr>
              <w:pStyle w:val="944"/>
              <w:numPr>
                <w:ilvl w:val="0"/>
                <w:numId w:val="12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специализация и освоение смежных областей;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44"/>
              <w:numPr>
                <w:ilvl w:val="0"/>
                <w:numId w:val="12"/>
              </w:numPr>
              <w:pBdr/>
              <w:spacing w:after="0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управленческий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spacing w:after="0" w:line="276" w:lineRule="auto"/>
        <w:ind w:firstLine="0" w:left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numPr>
          <w:ilvl w:val="0"/>
          <w:numId w:val="1"/>
        </w:numPr>
        <w:pBdr/>
        <w:spacing w:after="0" w:line="276" w:lineRule="auto"/>
        <w:ind/>
        <w:jc w:val="both"/>
        <w:rPr>
          <w:rFonts w:ascii="Times New Roman" w:hAnsi="Times New Roman" w:eastAsia="Calibri" w:cs="Times New Roman"/>
          <w:sz w:val="28"/>
          <w:szCs w:val="28"/>
          <w:vertAlign w:val="subscript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ГОСТы </w:t>
      </w:r>
      <w:r>
        <w:rPr>
          <w:rFonts w:ascii="Times New Roman" w:hAnsi="Times New Roman" w:eastAsia="Calibri" w:cs="Times New Roman"/>
          <w:sz w:val="28"/>
          <w:szCs w:val="28"/>
          <w:vertAlign w:val="subscript"/>
        </w:rPr>
      </w:r>
      <w:r>
        <w:rPr>
          <w:rFonts w:ascii="Times New Roman" w:hAnsi="Times New Roman" w:eastAsia="Calibri" w:cs="Times New Roman"/>
          <w:sz w:val="28"/>
          <w:szCs w:val="28"/>
          <w:vertAlign w:val="subscript"/>
        </w:rPr>
      </w:r>
    </w:p>
    <w:p>
      <w:pPr>
        <w:numPr>
          <w:ilvl w:val="0"/>
          <w:numId w:val="4"/>
        </w:numPr>
        <w:pBdr/>
        <w:spacing w:after="0" w:line="240" w:lineRule="auto"/>
        <w:ind w:left="1276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ГОСТ 19.504-79 МЕЖГОСУДАРСТВЕННЫЙ СТАНДАРТ Единая система программной документации РУКОВОДСТВО ПРОГРАММИСТА Требования к содержанию и оформлению;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</w:p>
    <w:p>
      <w:pPr>
        <w:numPr>
          <w:ilvl w:val="0"/>
          <w:numId w:val="4"/>
        </w:numPr>
        <w:pBdr/>
        <w:spacing w:after="0" w:line="240" w:lineRule="auto"/>
        <w:ind w:left="1276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ГОСТ Р 51904-2002.Программное обеспечение встроенных систем. Общие требования к разработке и документированию;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</w:p>
    <w:p>
      <w:pPr>
        <w:numPr>
          <w:ilvl w:val="0"/>
          <w:numId w:val="4"/>
        </w:numPr>
        <w:pBdr/>
        <w:spacing w:after="0" w:line="240" w:lineRule="auto"/>
        <w:ind w:left="1276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ГОСТ 19.101-77 Единая система программной документации (ЕСПД). Виды программ и программных документов;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</w:p>
    <w:p>
      <w:pPr>
        <w:numPr>
          <w:ilvl w:val="0"/>
          <w:numId w:val="4"/>
        </w:numPr>
        <w:pBdr/>
        <w:spacing w:after="0" w:line="240" w:lineRule="auto"/>
        <w:ind w:left="1276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ГОСТ 19.401-78. Текст программы. Требования к содержанию и оформлению;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</w:p>
    <w:p>
      <w:pPr>
        <w:numPr>
          <w:ilvl w:val="0"/>
          <w:numId w:val="4"/>
        </w:numPr>
        <w:pBdr/>
        <w:spacing w:after="0" w:line="240" w:lineRule="auto"/>
        <w:ind w:left="1276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ГОСТ Р ИСО/МЭК 90003-2014 Разработка программных продуктов. Руководящие указания по применению ИСО 9001:2008 при разработке программных продуктов;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</w:p>
    <w:p>
      <w:pPr>
        <w:numPr>
          <w:ilvl w:val="0"/>
          <w:numId w:val="4"/>
        </w:numPr>
        <w:pBdr/>
        <w:spacing w:after="0" w:line="240" w:lineRule="auto"/>
        <w:ind w:left="1276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ГОСТ Р ИСО/МЭК 8824-3-2002 Информационная технология (ИТ). Абстрактная синтаксическая нотация версии один (АСН.1). Часть 3. Спецификация ограничения;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</w:p>
    <w:p>
      <w:pPr>
        <w:numPr>
          <w:ilvl w:val="0"/>
          <w:numId w:val="4"/>
        </w:numPr>
        <w:pBdr/>
        <w:spacing w:after="0" w:line="240" w:lineRule="auto"/>
        <w:ind w:left="1276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ГОСТ Р 55241.1-2012/ISO/TR 9241-100:2010 Эргономика взаимодействия человек-система. Часть 100. Введение в стандарты, относящиеся к эргономике программных средств;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</w:p>
    <w:p>
      <w:pPr>
        <w:numPr>
          <w:ilvl w:val="0"/>
          <w:numId w:val="4"/>
        </w:numPr>
        <w:pBdr/>
        <w:spacing w:after="0" w:line="240" w:lineRule="auto"/>
        <w:ind w:left="1276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ГОСТ Р ИСО/МЭК 9126-93 Информационная технология. Оценка программной продукции. Характеристики качества и руководства по их применению;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</w:p>
    <w:p>
      <w:pPr>
        <w:numPr>
          <w:ilvl w:val="0"/>
          <w:numId w:val="4"/>
        </w:numPr>
        <w:pBdr/>
        <w:spacing w:after="0" w:line="240" w:lineRule="auto"/>
        <w:ind w:left="1276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ГОСТ Р ИСО 9241-161-2016 Эргономика взаимодействия человек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система. Часть 161. Элементы графического пользовательского интерфейса;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</w:p>
    <w:p>
      <w:pPr>
        <w:numPr>
          <w:ilvl w:val="0"/>
          <w:numId w:val="4"/>
        </w:numPr>
        <w:pBdr/>
        <w:spacing w:after="0" w:line="240" w:lineRule="auto"/>
        <w:ind w:left="1276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ГОСТ Р ИСО/МЭК 15910-2002 Информационная технология (ИТ). Процесс создания документации пользователя программного средства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</w:p>
    <w:p>
      <w:pPr>
        <w:numPr>
          <w:ilvl w:val="0"/>
          <w:numId w:val="1"/>
        </w:numPr>
        <w:pBdr/>
        <w:spacing w:after="0" w:line="276" w:lineRule="auto"/>
        <w:ind/>
        <w:jc w:val="both"/>
        <w:rPr>
          <w:rFonts w:ascii="Times New Roman" w:hAnsi="Times New Roman" w:eastAsia="Calibri" w:cs="Times New Roman"/>
          <w:sz w:val="28"/>
          <w:szCs w:val="28"/>
          <w:vertAlign w:val="subscript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СанПин </w:t>
      </w:r>
      <w:r>
        <w:rPr>
          <w:rFonts w:ascii="Times New Roman" w:hAnsi="Times New Roman" w:eastAsia="Calibri" w:cs="Times New Roman"/>
          <w:sz w:val="28"/>
          <w:szCs w:val="28"/>
          <w:vertAlign w:val="subscript"/>
        </w:rPr>
      </w:r>
      <w:r>
        <w:rPr>
          <w:rFonts w:ascii="Times New Roman" w:hAnsi="Times New Roman" w:eastAsia="Calibri" w:cs="Times New Roman"/>
          <w:sz w:val="28"/>
          <w:szCs w:val="28"/>
          <w:vertAlign w:val="subscript"/>
        </w:rPr>
      </w:r>
    </w:p>
    <w:p>
      <w:pPr>
        <w:numPr>
          <w:ilvl w:val="0"/>
          <w:numId w:val="3"/>
        </w:numPr>
        <w:pBdr/>
        <w:spacing w:after="0" w:line="240" w:lineRule="auto"/>
        <w:ind w:left="1276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СанПиН 9-131 РБ 2000 "Гигиенические требования к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видеодисплейным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 терминалам, электронно-вычислительным машинам и организации работы";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</w:p>
    <w:p>
      <w:pPr>
        <w:numPr>
          <w:ilvl w:val="0"/>
          <w:numId w:val="3"/>
        </w:numPr>
        <w:pBdr/>
        <w:spacing w:after="0" w:line="240" w:lineRule="auto"/>
        <w:ind w:left="1276"/>
        <w:jc w:val="both"/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 xml:space="preserve">СанПиН 2.2.2/2.4.1340-03 Гигиенические требования к персональным электронно-вычислительным машинам и организации работ;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</w:r>
    </w:p>
    <w:p>
      <w:pPr>
        <w:keepNext w:val="true"/>
        <w:pBdr/>
        <w:spacing w:after="0" w:line="276" w:lineRule="auto"/>
        <w:ind w:firstLine="709"/>
        <w:jc w:val="both"/>
        <w:outlineLvl w:val="1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Перечень профессиональных задач специалиста по компетенции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</w:rPr>
        <w:t xml:space="preserve">пре</w:t>
      </w:r>
      <w:r>
        <w:rPr>
          <w:rFonts w:ascii="Times New Roman" w:hAnsi="Times New Roman" w:eastAsia="Calibri" w:cs="Times New Roman"/>
          <w:sz w:val="28"/>
          <w:szCs w:val="28"/>
        </w:rPr>
        <w:t xml:space="preserve">деляется профессиональной областью специалиста и базируется на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требованиях современного рынка труда к данному специалисту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i/>
          <w:sz w:val="28"/>
          <w:szCs w:val="28"/>
        </w:rPr>
      </w:r>
      <w:r>
        <w:rPr>
          <w:rFonts w:ascii="Times New Roman" w:hAnsi="Times New Roman" w:eastAsia="Calibri" w:cs="Times New Roman"/>
          <w:i/>
          <w:sz w:val="28"/>
          <w:szCs w:val="28"/>
        </w:rPr>
      </w:r>
    </w:p>
    <w:p>
      <w:pPr>
        <w:keepNext w:val="true"/>
        <w:pBdr/>
        <w:spacing w:after="0" w:line="276" w:lineRule="auto"/>
        <w:ind w:firstLine="709"/>
        <w:jc w:val="both"/>
        <w:outlineLvl w:val="1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i/>
          <w:sz w:val="28"/>
          <w:szCs w:val="28"/>
        </w:rPr>
      </w:r>
      <w:r>
        <w:rPr>
          <w:rFonts w:ascii="Times New Roman" w:hAnsi="Times New Roman" w:eastAsia="Calibri" w:cs="Times New Roman"/>
          <w:i/>
          <w:sz w:val="28"/>
          <w:szCs w:val="28"/>
        </w:rPr>
      </w:r>
      <w:r>
        <w:rPr>
          <w:rFonts w:ascii="Times New Roman" w:hAnsi="Times New Roman" w:eastAsia="Calibri" w:cs="Times New Roman"/>
          <w:i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>
        <w:trPr/>
        <w:tc>
          <w:tcPr>
            <w:shd w:val="clear" w:color="auto" w:fill="92d050"/>
            <w:tcBorders/>
            <w:tcW w:w="52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</w:r>
          </w:p>
        </w:tc>
        <w:tc>
          <w:tcPr>
            <w:shd w:val="clear" w:color="auto" w:fill="92d050"/>
            <w:tcBorders/>
            <w:tcW w:w="4471" w:type="pct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  <w:t xml:space="preserve">Виды деятельности/трудовые функции</w:t>
            </w:r>
            <w:r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ffffff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bfbfbf"/>
            <w:tcBorders/>
            <w:tcW w:w="529" w:type="pct"/>
            <w:textDirection w:val="lrTb"/>
            <w:noWrap w:val="false"/>
          </w:tcPr>
          <w:p>
            <w:pPr>
              <w:pStyle w:val="944"/>
              <w:numPr>
                <w:ilvl w:val="0"/>
                <w:numId w:val="2"/>
              </w:num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471" w:type="pc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Анализ возможностей реализации требований к компьютерному программному обеспечению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bfbfbf"/>
            <w:tcBorders/>
            <w:tcW w:w="529" w:type="pct"/>
            <w:textDirection w:val="lrTb"/>
            <w:noWrap w:val="false"/>
          </w:tcPr>
          <w:p>
            <w:pPr>
              <w:pStyle w:val="944"/>
              <w:numPr>
                <w:ilvl w:val="0"/>
                <w:numId w:val="2"/>
              </w:num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471" w:type="pc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Сбор и обработка результатов проектных исследований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bfbfbf"/>
            <w:tcBorders/>
            <w:tcW w:w="529" w:type="pct"/>
            <w:textDirection w:val="lrTb"/>
            <w:noWrap w:val="false"/>
          </w:tcPr>
          <w:p>
            <w:pPr>
              <w:pStyle w:val="944"/>
              <w:numPr>
                <w:ilvl w:val="0"/>
                <w:numId w:val="2"/>
              </w:num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471" w:type="pc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Выявление требований к функциям системы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auto" w:fill="bfbfbf"/>
            <w:tcBorders/>
            <w:tcW w:w="529" w:type="pct"/>
            <w:textDirection w:val="lrTb"/>
            <w:noWrap w:val="false"/>
          </w:tcPr>
          <w:p>
            <w:pPr>
              <w:pStyle w:val="944"/>
              <w:numPr>
                <w:ilvl w:val="0"/>
                <w:numId w:val="2"/>
              </w:num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471" w:type="pc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Разработка и сопровождение требований к отдельным функциям системы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bfbfbf"/>
            <w:tcBorders/>
            <w:tcW w:w="52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2"/>
              </w:num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471" w:type="pct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Формализация и документирование требований к функциям системы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bfbfbf"/>
            <w:tcBorders/>
            <w:tcW w:w="52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2"/>
              </w:num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471" w:type="pct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Проектирование компьютерного программного обеспечения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bfbfbf"/>
            <w:tcBorders/>
            <w:tcW w:w="52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2"/>
              </w:num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471" w:type="pct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Создание визуального стиля графического пользовательского интерфейса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bfbfbf"/>
            <w:tcBorders/>
            <w:tcW w:w="52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2"/>
              </w:num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471" w:type="pct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Создание графического пользовательского интерфейса по концепции или по образцу уже спроектированной части интерфейса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bfbfbf"/>
            <w:tcBorders/>
            <w:tcW w:w="52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2"/>
              </w:num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471" w:type="pct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Формализация и алгоритмизация поставленных задач для разработки программного кода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bfbfbf"/>
            <w:tcBorders/>
            <w:tcW w:w="52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2"/>
              </w:num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471" w:type="pct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Проектирование архитектуры программных решений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bfbfbf"/>
            <w:tcBorders/>
            <w:tcW w:w="52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2"/>
              </w:num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471" w:type="pct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Написание программного кода с использованием языков программировани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я,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определения и манипулирования данными в базах данных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bfbfbf"/>
            <w:tcBorders/>
            <w:tcW w:w="52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2"/>
              </w:num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471" w:type="pct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Написание программного кода для обеспечения сетевого взаимодействия программных модулей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bfbfbf"/>
            <w:tcBorders/>
            <w:tcW w:w="52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2"/>
              </w:num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471" w:type="pct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Написание программного кода, обеспечивающего безопасное хранение, обработку и передачу данных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bfbfbf"/>
            <w:tcBorders/>
            <w:tcW w:w="52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2"/>
              </w:num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471" w:type="pct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Рефакторинг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оптимизация и инспекция программного кода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bfbfbf"/>
            <w:tcBorders/>
            <w:tcW w:w="52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2"/>
              </w:num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471" w:type="pct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Оформление программного кода в соответствии с установленными требованиями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bfbfbf"/>
            <w:tcBorders/>
            <w:tcW w:w="52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2"/>
              </w:num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471" w:type="pct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Работа с системой управления версиями программного кода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bfbfbf"/>
            <w:tcBorders/>
            <w:tcW w:w="52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2"/>
              </w:num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471" w:type="pct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Проверка и отладка программного кода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bfbfbf"/>
            <w:tcBorders/>
            <w:tcW w:w="52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2"/>
              </w:num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471" w:type="pct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Разработка тестовых наборов данных для проверки работоспособности компьютерного программного обеспечения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bfbfbf"/>
            <w:tcBorders/>
            <w:tcW w:w="52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2"/>
              </w:num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471" w:type="pct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Проверка работоспособности компьютерного программного обеспечения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bfbfbf"/>
            <w:tcBorders/>
            <w:tcW w:w="52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2"/>
              </w:num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471" w:type="pct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Разработка модульных и интеграционных тестов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bfbfbf"/>
            <w:tcBorders/>
            <w:tcW w:w="52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2"/>
              </w:num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471" w:type="pct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Проектирование систем хранения данных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bfbfbf"/>
            <w:tcBorders/>
            <w:tcW w:w="52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2"/>
              </w:num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471" w:type="pct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Разработка баз данных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bfbfbf"/>
            <w:tcBorders/>
            <w:tcW w:w="52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2"/>
              </w:num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471" w:type="pct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Разработка системных утилит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bfbfbf"/>
            <w:tcBorders/>
            <w:tcW w:w="52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2"/>
              </w:num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471" w:type="pct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Осуществление сборки однородных программных модулей в программный проект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bfbfbf"/>
            <w:tcBorders/>
            <w:tcW w:w="52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2"/>
              </w:num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471" w:type="pct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Осуществление интеграции программных модулей и компонентов и проверки работоспособности выпусков программного продукта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bfbfbf"/>
            <w:tcBorders/>
            <w:tcW w:w="52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2"/>
              </w:num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471" w:type="pct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Разработка разделов пользовательской документации, описывающих работу функций системы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bfbfbf"/>
            <w:tcBorders/>
            <w:tcW w:w="52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2"/>
              </w:num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471" w:type="pct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Разработка разделов проектной документации, описывающих работу функций системы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bfbfbf"/>
            <w:tcBorders/>
            <w:tcW w:w="52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2"/>
              </w:num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471" w:type="pct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Разработка регламентов эксплуатации системы и подсистемы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bfbfbf"/>
            <w:tcBorders/>
            <w:tcW w:w="52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2"/>
              </w:num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471" w:type="pct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Формирование и предоставление отчетности о ходе работ по разработке требований к системе и подсистеме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  <w:tr>
        <w:trPr/>
        <w:tc>
          <w:tcPr>
            <w:shd w:val="clear" w:color="ffffff" w:fill="bfbfbf"/>
            <w:tcBorders/>
            <w:tcW w:w="529" w:type="pct"/>
            <w:vMerge w:val="restart"/>
            <w:textDirection w:val="lrTb"/>
            <w:noWrap w:val="false"/>
          </w:tcPr>
          <w:p>
            <w:pPr>
              <w:pStyle w:val="944"/>
              <w:numPr>
                <w:ilvl w:val="0"/>
                <w:numId w:val="2"/>
              </w:numPr>
              <w:pBdr/>
              <w:spacing w:after="0" w:afterAutospacing="0" w:line="240" w:lineRule="auto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4471" w:type="pct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Подготовка и презентация программного решения заказчикам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</w:tr>
    </w:tbl>
    <w:p>
      <w:pPr>
        <w:pBdr/>
        <w:spacing w:line="36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tabs>
          <w:tab w:val="left" w:leader="none" w:pos="3516"/>
        </w:tabs>
        <w:spacing w:line="36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erReference w:type="default" r:id="rId9"/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k">
    <w:panose1 w:val="05040102010807070707"/>
  </w:font>
  <w:font w:name="Wingdings">
    <w:panose1 w:val="05000000000000000000"/>
  </w:font>
  <w:font w:name="PT Serif">
    <w:panose1 w:val="05040102010807070707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96303619"/>
      <w:docPartObj>
        <w:docPartGallery w:val="Page Numbers (Bottom of Page)"/>
        <w:docPartUnique w:val="true"/>
      </w:docPartObj>
      <w:rPr/>
    </w:sdtPr>
    <w:sdtContent>
      <w:p>
        <w:pPr>
          <w:pStyle w:val="948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94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495" w:left="855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2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5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7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9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1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3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5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7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9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1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5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7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9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1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3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5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7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9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1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72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7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7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7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7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spacing/>
        <w:ind w:hanging="360" w:left="75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7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9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1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3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5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7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9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1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75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7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9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1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3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5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7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9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1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spacing/>
        <w:ind w:hanging="360" w:left="75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7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9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1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3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5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7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9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1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75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7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9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1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3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5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7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9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1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5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7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9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1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3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5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7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9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1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495" w:left="855"/>
      </w:pPr>
      <w:rPr>
        <w:rFonts w:hint="default"/>
      </w:rPr>
      <w:start w:val="1"/>
      <w:suff w:val="tab"/>
    </w:lvl>
    <w:lvl w:ilvl="2">
      <w:isLgl w:val="false"/>
      <w:lvlJc w:val="left"/>
      <w:lvlText w:val="%3)"/>
      <w:numFmt w:val="decimal"/>
      <w:pPr>
        <w:pBdr/>
        <w:spacing/>
        <w:ind w:hanging="360" w:left="720"/>
      </w:pPr>
      <w:rPr/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221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934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65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37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94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81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53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254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974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spacing/>
        <w:ind w:hanging="360" w:left="185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74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9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01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734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45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7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94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614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495" w:left="855"/>
      </w:pPr>
      <w:rPr>
        <w:rFonts w:hint="default"/>
      </w:rPr>
      <w:start w:val="1"/>
      <w:suff w:val="tab"/>
    </w:lvl>
    <w:lvl w:ilvl="2">
      <w:isLgl w:val="false"/>
      <w:lvlJc w:val="left"/>
      <w:lvlText w:val="%3)"/>
      <w:numFmt w:val="decimal"/>
      <w:pPr>
        <w:pBdr/>
        <w:spacing/>
        <w:ind w:hanging="360" w:left="720"/>
      </w:pPr>
      <w:rPr/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</w:abstractNum>
  <w:abstractNum w:abstractNumId="1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495" w:left="855"/>
      </w:pPr>
      <w:rPr>
        <w:rFonts w:hint="default"/>
      </w:rPr>
      <w:start w:val="1"/>
      <w:suff w:val="tab"/>
    </w:lvl>
    <w:lvl w:ilvl="2">
      <w:isLgl w:val="false"/>
      <w:lvlJc w:val="left"/>
      <w:lvlText w:val="%3)"/>
      <w:numFmt w:val="decimal"/>
      <w:pPr>
        <w:pBdr/>
        <w:spacing/>
        <w:ind w:hanging="360" w:left="720"/>
      </w:pPr>
      <w:rPr/>
      <w:start w:val="1"/>
      <w:suff w:val="tab"/>
    </w:lvl>
    <w:lvl w:ilvl="3">
      <w:isLgl w:val="false"/>
      <w:lvlJc w:val="left"/>
      <w:lvlText w:val="%4)"/>
      <w:numFmt w:val="decimal"/>
      <w:pPr>
        <w:pBdr/>
        <w:spacing/>
        <w:ind w:hanging="360" w:left="720"/>
      </w:pPr>
      <w:rPr/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</w:abstractNum>
  <w:abstractNum w:abstractNumId="17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495" w:left="855"/>
      </w:pPr>
      <w:rPr>
        <w:rFonts w:hint="default"/>
      </w:rPr>
      <w:start w:val="1"/>
      <w:suff w:val="tab"/>
    </w:lvl>
    <w:lvl w:ilvl="2">
      <w:isLgl w:val="false"/>
      <w:lvlJc w:val="left"/>
      <w:lvlText w:val="%3)"/>
      <w:numFmt w:val="decimal"/>
      <w:pPr>
        <w:pBdr/>
        <w:spacing/>
        <w:ind w:hanging="360" w:left="720"/>
      </w:pPr>
      <w:rPr/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9">
    <w:name w:val="Table Grid Light"/>
    <w:basedOn w:val="9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1"/>
    <w:basedOn w:val="9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2"/>
    <w:basedOn w:val="9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1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2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3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4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5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6"/>
    <w:basedOn w:val="9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1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2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3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4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5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6"/>
    <w:basedOn w:val="9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4">
    <w:name w:val="Heading 1"/>
    <w:basedOn w:val="940"/>
    <w:next w:val="940"/>
    <w:link w:val="89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5">
    <w:name w:val="Heading 2"/>
    <w:basedOn w:val="940"/>
    <w:next w:val="940"/>
    <w:link w:val="89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6">
    <w:name w:val="Heading 3"/>
    <w:basedOn w:val="940"/>
    <w:next w:val="940"/>
    <w:link w:val="89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87">
    <w:name w:val="Heading 4"/>
    <w:basedOn w:val="940"/>
    <w:next w:val="940"/>
    <w:link w:val="89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88">
    <w:name w:val="Heading 5"/>
    <w:basedOn w:val="940"/>
    <w:next w:val="940"/>
    <w:link w:val="89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9">
    <w:name w:val="Heading 6"/>
    <w:basedOn w:val="940"/>
    <w:next w:val="940"/>
    <w:link w:val="89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0">
    <w:name w:val="Heading 7"/>
    <w:basedOn w:val="940"/>
    <w:next w:val="940"/>
    <w:link w:val="89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1">
    <w:name w:val="Heading 8"/>
    <w:basedOn w:val="940"/>
    <w:next w:val="940"/>
    <w:link w:val="90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2">
    <w:name w:val="Heading 9"/>
    <w:basedOn w:val="940"/>
    <w:next w:val="940"/>
    <w:link w:val="90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3">
    <w:name w:val="Heading 1 Char"/>
    <w:basedOn w:val="941"/>
    <w:link w:val="8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4">
    <w:name w:val="Heading 2 Char"/>
    <w:basedOn w:val="941"/>
    <w:link w:val="8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5">
    <w:name w:val="Heading 3 Char"/>
    <w:basedOn w:val="941"/>
    <w:link w:val="8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6">
    <w:name w:val="Heading 4 Char"/>
    <w:basedOn w:val="941"/>
    <w:link w:val="88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7">
    <w:name w:val="Heading 5 Char"/>
    <w:basedOn w:val="941"/>
    <w:link w:val="8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8">
    <w:name w:val="Heading 6 Char"/>
    <w:basedOn w:val="941"/>
    <w:link w:val="88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9">
    <w:name w:val="Heading 7 Char"/>
    <w:basedOn w:val="941"/>
    <w:link w:val="89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0">
    <w:name w:val="Heading 8 Char"/>
    <w:basedOn w:val="941"/>
    <w:link w:val="8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1">
    <w:name w:val="Heading 9 Char"/>
    <w:basedOn w:val="941"/>
    <w:link w:val="89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2">
    <w:name w:val="Title"/>
    <w:basedOn w:val="940"/>
    <w:next w:val="940"/>
    <w:link w:val="90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3">
    <w:name w:val="Title Char"/>
    <w:basedOn w:val="941"/>
    <w:link w:val="90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4">
    <w:name w:val="Subtitle"/>
    <w:basedOn w:val="940"/>
    <w:next w:val="940"/>
    <w:link w:val="90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5">
    <w:name w:val="Subtitle Char"/>
    <w:basedOn w:val="941"/>
    <w:link w:val="90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6">
    <w:name w:val="Quote"/>
    <w:basedOn w:val="940"/>
    <w:next w:val="940"/>
    <w:link w:val="90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7">
    <w:name w:val="Quote Char"/>
    <w:basedOn w:val="941"/>
    <w:link w:val="90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8">
    <w:name w:val="Intense Emphasis"/>
    <w:basedOn w:val="9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9">
    <w:name w:val="Intense Quote"/>
    <w:basedOn w:val="940"/>
    <w:next w:val="940"/>
    <w:link w:val="91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0">
    <w:name w:val="Intense Quote Char"/>
    <w:basedOn w:val="941"/>
    <w:link w:val="90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1">
    <w:name w:val="Intense Reference"/>
    <w:basedOn w:val="9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2">
    <w:name w:val="No Spacing"/>
    <w:basedOn w:val="940"/>
    <w:uiPriority w:val="1"/>
    <w:qFormat/>
    <w:pPr>
      <w:pBdr/>
      <w:spacing w:after="0" w:line="240" w:lineRule="auto"/>
      <w:ind/>
    </w:pPr>
  </w:style>
  <w:style w:type="character" w:styleId="913">
    <w:name w:val="Subtle Emphasis"/>
    <w:basedOn w:val="9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4">
    <w:name w:val="Emphasis"/>
    <w:basedOn w:val="941"/>
    <w:uiPriority w:val="20"/>
    <w:qFormat/>
    <w:pPr>
      <w:pBdr/>
      <w:spacing/>
      <w:ind/>
    </w:pPr>
    <w:rPr>
      <w:i/>
      <w:iCs/>
    </w:rPr>
  </w:style>
  <w:style w:type="character" w:styleId="915">
    <w:name w:val="Strong"/>
    <w:basedOn w:val="941"/>
    <w:uiPriority w:val="22"/>
    <w:qFormat/>
    <w:pPr>
      <w:pBdr/>
      <w:spacing/>
      <w:ind/>
    </w:pPr>
    <w:rPr>
      <w:b/>
      <w:bCs/>
    </w:rPr>
  </w:style>
  <w:style w:type="character" w:styleId="916">
    <w:name w:val="Subtle Reference"/>
    <w:basedOn w:val="9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7">
    <w:name w:val="Book Title"/>
    <w:basedOn w:val="9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18">
    <w:name w:val="Header Char"/>
    <w:basedOn w:val="941"/>
    <w:link w:val="946"/>
    <w:uiPriority w:val="99"/>
    <w:pPr>
      <w:pBdr/>
      <w:spacing/>
      <w:ind/>
    </w:pPr>
  </w:style>
  <w:style w:type="character" w:styleId="919">
    <w:name w:val="Footer Char"/>
    <w:basedOn w:val="941"/>
    <w:link w:val="948"/>
    <w:uiPriority w:val="99"/>
    <w:pPr>
      <w:pBdr/>
      <w:spacing/>
      <w:ind/>
    </w:pPr>
  </w:style>
  <w:style w:type="paragraph" w:styleId="920">
    <w:name w:val="Caption"/>
    <w:basedOn w:val="940"/>
    <w:next w:val="94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1">
    <w:name w:val="footnote text"/>
    <w:basedOn w:val="940"/>
    <w:link w:val="92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2">
    <w:name w:val="Footnote Text Char"/>
    <w:basedOn w:val="941"/>
    <w:link w:val="921"/>
    <w:uiPriority w:val="99"/>
    <w:semiHidden/>
    <w:pPr>
      <w:pBdr/>
      <w:spacing/>
      <w:ind/>
    </w:pPr>
    <w:rPr>
      <w:sz w:val="20"/>
      <w:szCs w:val="20"/>
    </w:rPr>
  </w:style>
  <w:style w:type="character" w:styleId="923">
    <w:name w:val="footnote reference"/>
    <w:basedOn w:val="941"/>
    <w:uiPriority w:val="99"/>
    <w:semiHidden/>
    <w:unhideWhenUsed/>
    <w:pPr>
      <w:pBdr/>
      <w:spacing/>
      <w:ind/>
    </w:pPr>
    <w:rPr>
      <w:vertAlign w:val="superscript"/>
    </w:rPr>
  </w:style>
  <w:style w:type="paragraph" w:styleId="924">
    <w:name w:val="endnote text"/>
    <w:basedOn w:val="940"/>
    <w:link w:val="92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5">
    <w:name w:val="Endnote Text Char"/>
    <w:basedOn w:val="941"/>
    <w:link w:val="924"/>
    <w:uiPriority w:val="99"/>
    <w:semiHidden/>
    <w:pPr>
      <w:pBdr/>
      <w:spacing/>
      <w:ind/>
    </w:pPr>
    <w:rPr>
      <w:sz w:val="20"/>
      <w:szCs w:val="20"/>
    </w:rPr>
  </w:style>
  <w:style w:type="character" w:styleId="926">
    <w:name w:val="endnote reference"/>
    <w:basedOn w:val="941"/>
    <w:uiPriority w:val="99"/>
    <w:semiHidden/>
    <w:unhideWhenUsed/>
    <w:pPr>
      <w:pBdr/>
      <w:spacing/>
      <w:ind/>
    </w:pPr>
    <w:rPr>
      <w:vertAlign w:val="superscript"/>
    </w:rPr>
  </w:style>
  <w:style w:type="character" w:styleId="927">
    <w:name w:val="Hyperlink"/>
    <w:basedOn w:val="94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28">
    <w:name w:val="FollowedHyperlink"/>
    <w:basedOn w:val="9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9">
    <w:name w:val="toc 1"/>
    <w:basedOn w:val="940"/>
    <w:next w:val="940"/>
    <w:uiPriority w:val="39"/>
    <w:unhideWhenUsed/>
    <w:pPr>
      <w:pBdr/>
      <w:spacing w:after="100"/>
      <w:ind/>
    </w:pPr>
  </w:style>
  <w:style w:type="paragraph" w:styleId="930">
    <w:name w:val="toc 2"/>
    <w:basedOn w:val="940"/>
    <w:next w:val="940"/>
    <w:uiPriority w:val="39"/>
    <w:unhideWhenUsed/>
    <w:pPr>
      <w:pBdr/>
      <w:spacing w:after="100"/>
      <w:ind w:left="220"/>
    </w:pPr>
  </w:style>
  <w:style w:type="paragraph" w:styleId="931">
    <w:name w:val="toc 3"/>
    <w:basedOn w:val="940"/>
    <w:next w:val="940"/>
    <w:uiPriority w:val="39"/>
    <w:unhideWhenUsed/>
    <w:pPr>
      <w:pBdr/>
      <w:spacing w:after="100"/>
      <w:ind w:left="440"/>
    </w:pPr>
  </w:style>
  <w:style w:type="paragraph" w:styleId="932">
    <w:name w:val="toc 4"/>
    <w:basedOn w:val="940"/>
    <w:next w:val="940"/>
    <w:uiPriority w:val="39"/>
    <w:unhideWhenUsed/>
    <w:pPr>
      <w:pBdr/>
      <w:spacing w:after="100"/>
      <w:ind w:left="660"/>
    </w:pPr>
  </w:style>
  <w:style w:type="paragraph" w:styleId="933">
    <w:name w:val="toc 5"/>
    <w:basedOn w:val="940"/>
    <w:next w:val="940"/>
    <w:uiPriority w:val="39"/>
    <w:unhideWhenUsed/>
    <w:pPr>
      <w:pBdr/>
      <w:spacing w:after="100"/>
      <w:ind w:left="880"/>
    </w:pPr>
  </w:style>
  <w:style w:type="paragraph" w:styleId="934">
    <w:name w:val="toc 6"/>
    <w:basedOn w:val="940"/>
    <w:next w:val="940"/>
    <w:uiPriority w:val="39"/>
    <w:unhideWhenUsed/>
    <w:pPr>
      <w:pBdr/>
      <w:spacing w:after="100"/>
      <w:ind w:left="1100"/>
    </w:pPr>
  </w:style>
  <w:style w:type="paragraph" w:styleId="935">
    <w:name w:val="toc 7"/>
    <w:basedOn w:val="940"/>
    <w:next w:val="940"/>
    <w:uiPriority w:val="39"/>
    <w:unhideWhenUsed/>
    <w:pPr>
      <w:pBdr/>
      <w:spacing w:after="100"/>
      <w:ind w:left="1320"/>
    </w:pPr>
  </w:style>
  <w:style w:type="paragraph" w:styleId="936">
    <w:name w:val="toc 8"/>
    <w:basedOn w:val="940"/>
    <w:next w:val="940"/>
    <w:uiPriority w:val="39"/>
    <w:unhideWhenUsed/>
    <w:pPr>
      <w:pBdr/>
      <w:spacing w:after="100"/>
      <w:ind w:left="1540"/>
    </w:pPr>
  </w:style>
  <w:style w:type="paragraph" w:styleId="937">
    <w:name w:val="toc 9"/>
    <w:basedOn w:val="940"/>
    <w:next w:val="940"/>
    <w:uiPriority w:val="39"/>
    <w:unhideWhenUsed/>
    <w:pPr>
      <w:pBdr/>
      <w:spacing w:after="100"/>
      <w:ind w:left="1760"/>
    </w:pPr>
  </w:style>
  <w:style w:type="paragraph" w:styleId="938">
    <w:name w:val="TOC Heading"/>
    <w:uiPriority w:val="39"/>
    <w:unhideWhenUsed/>
    <w:pPr>
      <w:pBdr/>
      <w:spacing/>
      <w:ind/>
    </w:pPr>
  </w:style>
  <w:style w:type="paragraph" w:styleId="939">
    <w:name w:val="table of figures"/>
    <w:basedOn w:val="940"/>
    <w:next w:val="940"/>
    <w:uiPriority w:val="99"/>
    <w:unhideWhenUsed/>
    <w:pPr>
      <w:pBdr/>
      <w:spacing w:after="0" w:afterAutospacing="0"/>
      <w:ind/>
    </w:pPr>
  </w:style>
  <w:style w:type="paragraph" w:styleId="940" w:default="1">
    <w:name w:val="Normal"/>
    <w:qFormat/>
    <w:pPr>
      <w:pBdr/>
      <w:spacing/>
      <w:ind/>
    </w:pPr>
  </w:style>
  <w:style w:type="character" w:styleId="941" w:default="1">
    <w:name w:val="Default Paragraph Font"/>
    <w:uiPriority w:val="1"/>
    <w:semiHidden/>
    <w:unhideWhenUsed/>
    <w:pPr>
      <w:pBdr/>
      <w:spacing/>
      <w:ind/>
    </w:pPr>
  </w:style>
  <w:style w:type="table" w:styleId="94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3" w:default="1">
    <w:name w:val="No List"/>
    <w:uiPriority w:val="99"/>
    <w:semiHidden/>
    <w:unhideWhenUsed/>
    <w:pPr>
      <w:pBdr/>
      <w:spacing/>
      <w:ind/>
    </w:pPr>
  </w:style>
  <w:style w:type="paragraph" w:styleId="944">
    <w:name w:val="List Paragraph"/>
    <w:basedOn w:val="940"/>
    <w:link w:val="945"/>
    <w:uiPriority w:val="34"/>
    <w:qFormat/>
    <w:pPr>
      <w:pBdr/>
      <w:spacing w:after="200" w:line="276" w:lineRule="auto"/>
      <w:ind w:left="720"/>
      <w:contextualSpacing w:val="true"/>
    </w:pPr>
    <w:rPr>
      <w:rFonts w:ascii="Calibri" w:hAnsi="Calibri" w:eastAsia="Calibri" w:cs="Times New Roman"/>
    </w:rPr>
  </w:style>
  <w:style w:type="character" w:styleId="945" w:customStyle="1">
    <w:name w:val="Абзац списка Знак"/>
    <w:basedOn w:val="941"/>
    <w:link w:val="944"/>
    <w:uiPriority w:val="34"/>
    <w:pPr>
      <w:pBdr/>
      <w:spacing/>
      <w:ind/>
    </w:pPr>
    <w:rPr>
      <w:rFonts w:ascii="Calibri" w:hAnsi="Calibri" w:eastAsia="Calibri" w:cs="Times New Roman"/>
    </w:rPr>
  </w:style>
  <w:style w:type="paragraph" w:styleId="946">
    <w:name w:val="Header"/>
    <w:basedOn w:val="940"/>
    <w:link w:val="947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7" w:customStyle="1">
    <w:name w:val="Верхний колонтитул Знак"/>
    <w:basedOn w:val="941"/>
    <w:link w:val="946"/>
    <w:uiPriority w:val="99"/>
    <w:pPr>
      <w:pBdr/>
      <w:spacing/>
      <w:ind/>
    </w:pPr>
  </w:style>
  <w:style w:type="paragraph" w:styleId="948">
    <w:name w:val="Footer"/>
    <w:basedOn w:val="940"/>
    <w:link w:val="949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49" w:customStyle="1">
    <w:name w:val="Нижний колонтитул Знак"/>
    <w:basedOn w:val="941"/>
    <w:link w:val="948"/>
    <w:uiPriority w:val="99"/>
    <w:pPr>
      <w:pBdr/>
      <w:spacing/>
      <w:ind/>
    </w:pPr>
  </w:style>
  <w:style w:type="paragraph" w:styleId="950">
    <w:name w:val="Body Text"/>
    <w:basedOn w:val="940"/>
    <w:link w:val="951"/>
    <w:uiPriority w:val="1"/>
    <w:qFormat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8"/>
      <w:szCs w:val="28"/>
    </w:rPr>
  </w:style>
  <w:style w:type="character" w:styleId="951" w:customStyle="1">
    <w:name w:val="Основной текст Знак"/>
    <w:basedOn w:val="941"/>
    <w:link w:val="950"/>
    <w:uiPriority w:val="1"/>
    <w:pPr>
      <w:pBdr/>
      <w:spacing/>
      <w:ind/>
    </w:pPr>
    <w:rPr>
      <w:rFonts w:ascii="Times New Roman" w:hAnsi="Times New Roman" w:eastAsia="Times New Roman" w:cs="Times New Roman"/>
      <w:sz w:val="28"/>
      <w:szCs w:val="28"/>
    </w:rPr>
  </w:style>
  <w:style w:type="table" w:styleId="952">
    <w:name w:val="Table Grid"/>
    <w:basedOn w:val="942"/>
    <w:uiPriority w:val="39"/>
    <w:pPr>
      <w:widowControl w:val="false"/>
      <w:pBdr/>
      <w:spacing w:after="0" w:line="240" w:lineRule="auto"/>
      <w:ind/>
    </w:pPr>
    <w:rPr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revision>9</cp:revision>
  <dcterms:created xsi:type="dcterms:W3CDTF">2023-10-02T14:40:00Z</dcterms:created>
  <dcterms:modified xsi:type="dcterms:W3CDTF">2025-03-13T07:24:06Z</dcterms:modified>
</cp:coreProperties>
</file>