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t xml:space="preserve">ПРОСВЕЩЕНИЯ РЕСПУБЛИКИ БАШКОРТОСТАН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spacing/>
        <w:ind w:left="7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778" w:type="dxa"/>
        <w:tblInd w:w="-289" w:type="dxa"/>
        <w:tblBorders/>
        <w:tblLook w:val="04A0" w:firstRow="1" w:lastRow="0" w:firstColumn="1" w:lastColumn="0" w:noHBand="0" w:noVBand="1"/>
      </w:tblPr>
      <w:tblGrid>
        <w:gridCol w:w="5959"/>
        <w:gridCol w:w="4819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УКРТБ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bookmarkEnd w:id="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spacing/>
        <w:ind w:left="7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ПРОГРАММА </w:t>
      </w:r>
      <w:r>
        <w:rPr>
          <w:rFonts w:ascii="Times New Roman" w:hAnsi="Times New Roman" w:cs="Times New Roman"/>
          <w:b/>
          <w:bCs/>
          <w:spacing w:val="-2"/>
        </w:rPr>
        <w:t xml:space="preserve">ГОСУДАРСТВЕННОЙ (ИТОГОВОЙ) АТТЕСТАЦИИ ВЫПУСКНИКОВ УКРТБ</w:t>
      </w:r>
      <w:r>
        <w:rPr>
          <w:rFonts w:ascii="Times New Roman" w:hAnsi="Times New Roman" w:cs="Times New Roman"/>
          <w:b/>
          <w:bCs/>
          <w:spacing w:val="-2"/>
        </w:rPr>
        <w:br/>
        <w:t xml:space="preserve">ПО </w:t>
      </w:r>
      <w:r>
        <w:rPr>
          <w:rFonts w:ascii="Times New Roman" w:hAnsi="Times New Roman" w:cs="Times New Roman"/>
          <w:b/>
          <w:bCs/>
          <w:spacing w:val="-2"/>
        </w:rPr>
        <w:t xml:space="preserve">ПРОФЕССИИ</w:t>
      </w:r>
      <w:r>
        <w:rPr>
          <w:rFonts w:ascii="Times New Roman" w:hAnsi="Times New Roman" w:cs="Times New Roman"/>
          <w:b/>
          <w:bCs/>
          <w:spacing w:val="-2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bCs/>
          <w:spacing w:val="-2"/>
        </w:rPr>
      </w:r>
    </w:p>
    <w:tbl>
      <w:tblPr>
        <w:tblW w:w="0" w:type="auto"/>
        <w:tblInd w:w="828" w:type="dxa"/>
        <w:tblBorders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>
        <w:trPr/>
        <w:tc>
          <w:tcPr>
            <w:tcBorders>
              <w:bottom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н</w:t>
            </w:r>
            <w:r>
              <w:rPr>
                <w:rFonts w:ascii="Times New Roman" w:hAnsi="Times New Roman" w:cs="Times New Roman"/>
                <w:i/>
              </w:rPr>
              <w:t xml:space="preserve">аименование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специальности</w:t>
            </w:r>
            <w:r>
              <w:rPr>
                <w:rFonts w:ascii="Times New Roman" w:hAnsi="Times New Roman" w:cs="Times New Roman"/>
                <w:i/>
              </w:rPr>
              <w:t xml:space="preserve">/профессии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214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информационных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наименование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54" w:type="dxa"/>
        <w:tblInd w:w="-431" w:type="dxa"/>
        <w:tblBorders/>
        <w:tblLook w:val="04A0" w:firstRow="1" w:lastRow="0" w:firstColumn="1" w:lastColumn="0" w:noHBand="0" w:noVBand="1"/>
      </w:tblPr>
      <w:tblGrid>
        <w:gridCol w:w="5393"/>
        <w:gridCol w:w="4961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</w:r>
            <w:r>
              <w:rPr>
                <w:rFonts w:ascii="Times New Roman" w:hAnsi="Times New Roman" w:cs="Times New Roman"/>
                <w:spacing w:val="-2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УКРТБ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__________________Л.Р.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Туктарова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.В.Гордеева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r>
              <w:rPr>
                <w:rFonts w:ascii="Times New Roman" w:hAnsi="Times New Roman" w:eastAsia="Arial" w:cs="Times New Roman"/>
                <w:sz w:val="28"/>
                <w:szCs w:val="28"/>
                <w:highlight w:val="white"/>
              </w:rPr>
              <w:t xml:space="preserve">технологий сервиса и информационных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Никишина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Уфа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</w:t>
      </w: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5</w:t>
      </w:r>
      <w:r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843"/>
        <w:gridCol w:w="512"/>
      </w:tblGrid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Общие положения……………………………………………..………….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Процедура проведения государственной итоговой аттестации……….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Оценка результатов государственной итоговой аттестации...…………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Порядок апелляции и пересдачи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аттестации………………………………………………………...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5"/>
        </w:trPr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Примерное задание для демонстрационного экзамена……….……………………………………………………………..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83"/>
        <w:pBdr/>
        <w:spacing/>
        <w:ind/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1. </w:t>
      </w:r>
      <w:r>
        <w:rPr>
          <w:b/>
        </w:rPr>
        <w:t xml:space="preserve">ОБЩИЕ ПОЛОЖЕНИЯ</w:t>
      </w:r>
      <w:r>
        <w:rPr>
          <w:b/>
        </w:rPr>
      </w:r>
    </w:p>
    <w:p>
      <w:pPr>
        <w:pStyle w:val="783"/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1.1. Область применения программы ГИА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профессии</w:t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>
        <w:trPr/>
        <w:tc>
          <w:tcPr>
            <w:tcBorders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09.01.03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Оператор информационных систем и ресурсов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rPr/>
        <w:tc>
          <w:tcPr>
            <w:tcBorders>
              <w:bottom w:val="none" w:color="000000" w:sz="4" w:space="0"/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</w:rPr>
              <w:t xml:space="preserve">профессии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утвержденного Приказом Министерства образования и науки </w:t>
      </w:r>
      <w:r>
        <w:rPr>
          <w:rFonts w:ascii="Times New Roman" w:hAnsi="Times New Roman" w:cs="Times New Roman"/>
        </w:rPr>
        <w:t xml:space="preserve">11 ноября 2022 года № 974 </w:t>
      </w:r>
      <w:r>
        <w:rPr>
          <w:rFonts w:ascii="Times New Roman" w:hAnsi="Times New Roman" w:cs="Times New Roman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t xml:space="preserve">19 декабря 2022 г., регистрационный №71639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 выпускника: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ператор </w:t>
      </w:r>
      <w:r>
        <w:rPr>
          <w:rFonts w:ascii="Times New Roman" w:hAnsi="Times New Roman" w:cs="Times New Roman"/>
        </w:rPr>
        <w:t xml:space="preserve">информационных систем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программа реализуется на базе </w:t>
      </w:r>
      <w:r>
        <w:rPr>
          <w:rFonts w:ascii="Times New Roman" w:hAnsi="Times New Roman" w:cs="Times New Roman"/>
        </w:rPr>
        <w:t xml:space="preserve">среднего общего образования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1.2. Цели и задачи государственной итоговой аттестации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</w:t>
      </w:r>
      <w:r>
        <w:rPr>
          <w:rFonts w:ascii="Times New Roman" w:hAnsi="Times New Roman" w:cs="Times New Roman"/>
        </w:rPr>
        <w:t xml:space="preserve">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</w:t>
      </w:r>
      <w:r>
        <w:rPr>
          <w:rFonts w:ascii="Times New Roman" w:hAnsi="Times New Roman" w:cs="Times New Roman"/>
        </w:rPr>
        <w:t xml:space="preserve">профессии</w:t>
      </w:r>
      <w:r>
        <w:rPr>
          <w:rFonts w:ascii="Times New Roman" w:hAnsi="Times New Roman" w:cs="Times New Roman"/>
        </w:rPr>
        <w:t xml:space="preserve"> при решении конкретных профессиональных задач, определить уровень подготовки выпускника к самостоятельной работе. 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</w:t>
      </w:r>
      <w:r>
        <w:rPr>
          <w:rFonts w:ascii="Times New Roman" w:hAnsi="Times New Roman" w:cs="Times New Roman"/>
          <w:b/>
        </w:rPr>
        <w:t xml:space="preserve">Нормативные правовые документы и локальные акты, регулирующие вопросы организации и проведения ГИА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</w:t>
      </w:r>
      <w:r>
        <w:rPr>
          <w:sz w:val="24"/>
          <w:szCs w:val="24"/>
        </w:rPr>
        <w:t xml:space="preserve"> (с изменениями)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государственный стандарт среднего профессионального образования по </w:t>
      </w:r>
      <w:r>
        <w:rPr>
          <w:sz w:val="24"/>
          <w:szCs w:val="24"/>
        </w:rPr>
        <w:t xml:space="preserve">профессии 09.01.03 «Оператор информационных систем и ресурсов»</w:t>
      </w:r>
      <w:r>
        <w:rPr>
          <w:sz w:val="24"/>
          <w:szCs w:val="24"/>
        </w:rPr>
        <w:t xml:space="preserve">, утвержденный Приказом Министерства образования и науки </w:t>
      </w:r>
      <w:r>
        <w:rPr>
          <w:sz w:val="24"/>
          <w:szCs w:val="24"/>
        </w:rPr>
        <w:t xml:space="preserve">11 ноября 2022 года № 974 </w:t>
      </w:r>
      <w:r>
        <w:rPr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sz w:val="24"/>
          <w:szCs w:val="24"/>
        </w:rPr>
        <w:t xml:space="preserve">19 декабря 2022 </w:t>
      </w:r>
      <w:r>
        <w:rPr>
          <w:sz w:val="24"/>
          <w:szCs w:val="24"/>
        </w:rPr>
        <w:t xml:space="preserve">г., регистрационный №</w:t>
      </w:r>
      <w:r>
        <w:rPr>
          <w:sz w:val="24"/>
          <w:szCs w:val="24"/>
        </w:rPr>
        <w:t xml:space="preserve">71639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</w:t>
      </w:r>
      <w:r>
        <w:rPr>
          <w:sz w:val="24"/>
          <w:szCs w:val="24"/>
        </w:rPr>
        <w:t xml:space="preserve">просвещения</w:t>
      </w:r>
      <w:r>
        <w:rPr>
          <w:sz w:val="24"/>
          <w:szCs w:val="24"/>
        </w:rPr>
        <w:t xml:space="preserve"> Российской Федерации от 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 2022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762</w:t>
      </w:r>
      <w:r>
        <w:rPr>
          <w:sz w:val="24"/>
          <w:szCs w:val="24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sz w:val="24"/>
          <w:szCs w:val="24"/>
        </w:rPr>
        <w:t xml:space="preserve"> (вступает в силу с 1 марта 2023 г.)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</w:t>
      </w:r>
      <w:r>
        <w:rPr>
          <w:sz w:val="24"/>
          <w:szCs w:val="24"/>
        </w:rPr>
        <w:t xml:space="preserve">просвещения</w:t>
      </w:r>
      <w:r>
        <w:rPr>
          <w:sz w:val="24"/>
          <w:szCs w:val="24"/>
        </w:rPr>
        <w:t xml:space="preserve"> Российской Федерации от </w:t>
      </w:r>
      <w:r>
        <w:rPr>
          <w:sz w:val="24"/>
          <w:szCs w:val="24"/>
        </w:rPr>
        <w:t xml:space="preserve">8 ноября 2021</w:t>
      </w:r>
      <w:r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800</w:t>
      </w:r>
      <w:r>
        <w:rPr>
          <w:sz w:val="24"/>
          <w:szCs w:val="24"/>
        </w:rPr>
        <w:t xml:space="preserve"> «Об утверждении Порядка проведения государственной </w:t>
      </w:r>
      <w:r>
        <w:rPr>
          <w:sz w:val="24"/>
          <w:szCs w:val="24"/>
        </w:rPr>
        <w:t xml:space="preserve">итоговой аттестации по образовательным программам среднего профессионального образования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</w:t>
      </w:r>
      <w:r>
        <w:rPr>
          <w:sz w:val="24"/>
          <w:szCs w:val="24"/>
        </w:rPr>
        <w:t xml:space="preserve">просвещения</w:t>
      </w:r>
      <w:r>
        <w:rPr>
          <w:sz w:val="24"/>
          <w:szCs w:val="24"/>
        </w:rPr>
        <w:t xml:space="preserve"> Российской Федерации от </w:t>
      </w:r>
      <w:r>
        <w:rPr>
          <w:sz w:val="24"/>
          <w:szCs w:val="24"/>
        </w:rPr>
        <w:t xml:space="preserve">17 мая 2022</w:t>
      </w:r>
      <w:r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336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</w:t>
      </w:r>
      <w:r>
        <w:rPr>
          <w:sz w:val="24"/>
          <w:szCs w:val="24"/>
        </w:rPr>
        <w:t xml:space="preserve">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pStyle w:val="792"/>
        <w:numPr>
          <w:ilvl w:val="0"/>
          <w:numId w:val="3"/>
        </w:numPr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проведении государственной итоговой аттестации с использованием механизма демонстрационного экзамена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1.4 Формы проведения государственной итоговой аттестации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Государственная итоговая аттестация в соответствии с ФГОС СПО проводится в форме демонстрационного экзамена.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1.5</w:t>
      </w:r>
      <w:r>
        <w:rPr>
          <w:rFonts w:ascii="Times New Roman" w:hAnsi="Times New Roman" w:cs="Times New Roman"/>
          <w:b/>
        </w:rPr>
        <w:t xml:space="preserve"> Требования к уровню подготовки выпускника по профессиона</w:t>
      </w:r>
      <w:r>
        <w:rPr>
          <w:rFonts w:ascii="Times New Roman" w:hAnsi="Times New Roman" w:cs="Times New Roman"/>
          <w:b/>
        </w:rPr>
        <w:t xml:space="preserve">льной образовательной программе</w:t>
      </w:r>
      <w:r>
        <w:rPr>
          <w:rFonts w:ascii="Times New Roman" w:hAnsi="Times New Roman" w:cs="Times New Roman"/>
          <w:b/>
        </w:rPr>
        <w:t xml:space="preserve"> в соответствии с ФГОС СПО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1.5.1 Выпускник, освоивший образовательную программу, должен обладать следующими общими компетенциями: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04. Эффективно взаимодействовать и работать в коллективе и команде;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 06. Проявлять гражданск</w:t>
      </w:r>
      <w:r>
        <w:rPr>
          <w:rFonts w:ascii="Times New Roman" w:hAnsi="Times New Roman" w:cs="Times New Roman"/>
        </w:rPr>
        <w:t xml:space="preserve">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Оформление и компоновка технической документации: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1.1. Выполнять ввод и обработку текстовых данных.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1.2. Выполнять преобразование данных, связанных с изменениями структуры документов.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1.3. Выполнять разметку и форматирование документов различных форматов.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1.4. Конвертировать аналоговые данные в цифровые.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1.5. Выполнять подготовку цифровых данных для дальнейшей обработки и архивирования.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1.6. Формировать запросы для получения информации в базах данных.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1.7. Выполнять операции с объектами базы данных.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Техническая обработка и размещение информационных ресурсов на сайте: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2.1. Структурировать цифровые данные для публикации.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2.2. Размещать и обновлять информационный материал через систему управления контентом.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2.3. Устанавливать и разграничивать права доступа к разделам веб-ресурса.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2.4. Собирать статистику по результатам работы веб-ресурса.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Подготовка интерфейсной графики: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3.1. Создавать визуальный дизайн элементов графического пользовательского интерфейса.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ПК 3.2. Подготавливать графические материалы для включения в графический пользовательский интерфейс.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83"/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 xml:space="preserve">ПРОЦЕДУРА ПРОВЕДЕНИЯ</w:t>
      </w:r>
      <w:r>
        <w:rPr>
          <w:rFonts w:ascii="Times New Roman" w:hAnsi="Times New Roman" w:cs="Times New Roman"/>
          <w:b/>
        </w:rPr>
        <w:t xml:space="preserve"> ГОСУДАРСТВЕННОЙ ИТОГОВОЙ АТТЕСТАЦИИ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2.1. </w:t>
      </w:r>
      <w:r>
        <w:rPr>
          <w:rFonts w:ascii="Times New Roman" w:hAnsi="Times New Roman" w:cs="Times New Roman"/>
          <w:b/>
        </w:rPr>
        <w:t xml:space="preserve">Проведение </w:t>
      </w:r>
      <w:r>
        <w:rPr>
          <w:rFonts w:ascii="Times New Roman" w:hAnsi="Times New Roman" w:cs="Times New Roman"/>
          <w:b/>
        </w:rPr>
        <w:t xml:space="preserve">демонстрационного экзамена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 Выбор оценочной документации для демонстрационного экзамена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</w:t>
      </w:r>
      <w:r>
        <w:rPr>
          <w:rFonts w:ascii="Times New Roman" w:hAnsi="Times New Roman" w:cs="Times New Roman"/>
        </w:rPr>
        <w:t xml:space="preserve">в соответствии с лучшими мировыми и национальными практиками.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 w:eastAsiaTheme="minorHAnsi"/>
          <w:lang w:eastAsia="en-US"/>
        </w:rPr>
      </w:pPr>
      <w:r>
        <w:rPr>
          <w:rFonts w:ascii="Times New Roman" w:hAnsi="Times New Roman" w:cs="Times New Roman"/>
        </w:rPr>
        <w:t xml:space="preserve">Для проведения </w:t>
      </w:r>
      <w:r>
        <w:rPr>
          <w:rFonts w:ascii="Times New Roman" w:hAnsi="Times New Roman" w:cs="Times New Roman"/>
        </w:rPr>
        <w:t xml:space="preserve">демонстрационного экзамена по </w:t>
      </w:r>
      <w:r>
        <w:rPr>
          <w:rFonts w:ascii="Times New Roman" w:hAnsi="Times New Roman" w:cs="Times New Roman"/>
        </w:rPr>
        <w:t xml:space="preserve">профессии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09.01.03 «Оператор информационных систем и ресурсов»</w:t>
      </w:r>
      <w:r>
        <w:rPr>
          <w:rFonts w:ascii="Times New Roman" w:hAnsi="Times New Roman" w:cs="Times New Roman"/>
        </w:rPr>
        <w:t xml:space="preserve"> выбран комплект оценочной документации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 w:eastAsiaTheme="minorHAnsi"/>
          <w:lang w:eastAsia="en-US"/>
        </w:rPr>
        <w:t xml:space="preserve">КОД</w:t>
      </w:r>
      <w:r>
        <w:rPr>
          <w:rFonts w:ascii="Times New Roman" w:hAnsi="Times New Roman" w:cs="Times New Roman" w:eastAsiaTheme="minorHAnsi"/>
          <w:lang w:eastAsia="en-US"/>
        </w:rPr>
        <w:t xml:space="preserve">)</w:t>
      </w:r>
      <w:r>
        <w:rPr>
          <w:rFonts w:ascii="Times New Roman" w:hAnsi="Times New Roman" w:cs="Times New Roman" w:eastAsiaTheme="minorHAnsi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lang w:eastAsia="en-US"/>
        </w:rPr>
        <w:t xml:space="preserve">шифр КОД </w:t>
      </w:r>
      <w:r>
        <w:rPr>
          <w:rFonts w:ascii="Times New Roman" w:hAnsi="Times New Roman" w:cs="Times New Roman" w:eastAsiaTheme="minorHAnsi"/>
          <w:lang w:eastAsia="en-US"/>
        </w:rPr>
        <w:t xml:space="preserve">09.01.03-2-202</w:t>
      </w:r>
      <w:r>
        <w:rPr>
          <w:rFonts w:ascii="Times New Roman" w:hAnsi="Times New Roman" w:cs="Times New Roman" w:eastAsiaTheme="minorHAnsi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lang w:eastAsia="en-US"/>
        </w:rPr>
        <w:t xml:space="preserve">, направленность – «Оператор информационных систем», </w:t>
      </w:r>
      <w:r>
        <w:rPr>
          <w:rFonts w:ascii="Times New Roman" w:hAnsi="Times New Roman" w:cs="Times New Roman" w:eastAsiaTheme="minorHAnsi"/>
          <w:lang w:eastAsia="en-US"/>
        </w:rPr>
        <w:t xml:space="preserve">наименование квалификации - </w:t>
      </w:r>
      <w:r>
        <w:rPr>
          <w:rFonts w:ascii="Times New Roman" w:hAnsi="Times New Roman" w:cs="Times New Roman"/>
        </w:rPr>
        <w:t xml:space="preserve">оператор информационных систем и ресурсов</w:t>
      </w:r>
      <w:r>
        <w:rPr>
          <w:rFonts w:ascii="Times New Roman" w:hAnsi="Times New Roman" w:cs="Times New Roman" w:eastAsiaTheme="minorHAnsi"/>
          <w:lang w:eastAsia="en-US"/>
        </w:rPr>
        <w:t xml:space="preserve">, </w:t>
      </w:r>
      <w:r>
        <w:rPr>
          <w:rFonts w:ascii="Times New Roman" w:hAnsi="Times New Roman" w:cs="Times New Roman" w:eastAsiaTheme="minorHAnsi"/>
          <w:lang w:eastAsia="en-US"/>
        </w:rPr>
        <w:t xml:space="preserve">уровень – </w:t>
      </w:r>
      <w:r>
        <w:rPr>
          <w:rFonts w:ascii="Times New Roman" w:hAnsi="Times New Roman" w:cs="Times New Roman" w:eastAsiaTheme="minorHAnsi"/>
          <w:lang w:eastAsia="en-US"/>
        </w:rPr>
        <w:t xml:space="preserve">профильный</w:t>
      </w:r>
      <w:r>
        <w:rPr>
          <w:rFonts w:ascii="Times New Roman" w:hAnsi="Times New Roman" w:cs="Times New Roman" w:eastAsiaTheme="minorHAnsi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lang w:eastAsia="en-US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 Сроки и место проведения демонстрационного экзамена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времени и сроки, отводимые на подготовку к демонстрационному экзамену: 2 недели, май.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проведения демонстрационного экзамена: 1 неделя, июнь.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 демонстрационного экзамена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Ц</w:t>
      </w:r>
      <w:r>
        <w:rPr>
          <w:rFonts w:ascii="Times New Roman" w:hAnsi="Times New Roman" w:cs="Times New Roman"/>
        </w:rPr>
        <w:t xml:space="preserve">ентр проведения </w:t>
      </w:r>
      <w:r>
        <w:rPr>
          <w:rFonts w:ascii="Times New Roman" w:hAnsi="Times New Roman" w:cs="Times New Roman"/>
        </w:rPr>
        <w:t xml:space="preserve">демонстрационного экзамена по адресу:</w:t>
      </w:r>
      <w:r>
        <w:rPr>
          <w:rFonts w:ascii="Times New Roman" w:hAnsi="Times New Roman" w:cs="Times New Roman"/>
        </w:rPr>
        <w:t xml:space="preserve"> г.Уфа, ул.Генерала Горбатова, д.11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Cs w:val="28"/>
          <w:lang w:eastAsia="en-US"/>
        </w:rPr>
        <w:t xml:space="preserve">КОД </w:t>
      </w:r>
      <w:r>
        <w:rPr>
          <w:rFonts w:ascii="Times New Roman" w:hAnsi="Times New Roman" w:cs="Times New Roman"/>
        </w:rPr>
        <w:t xml:space="preserve">рассчитан на выполнение заданий продолжительностью 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Единое базовое ядро содержания КОД, сформированное на основе вида деятельности в соответствии с ФГОС СПО, включает в себя:</w:t>
      </w:r>
      <w:r>
        <w:rPr>
          <w:rFonts w:ascii="Times New Roman" w:hAnsi="Times New Roman" w:cs="Times New Roman"/>
        </w:rPr>
      </w:r>
    </w:p>
    <w:p>
      <w:pPr>
        <w:pBdr/>
        <w:spacing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 – Единое базовое ядро содержания КОД</w:t>
      </w:r>
      <w:r>
        <w:rPr>
          <w:rFonts w:ascii="Times New Roman" w:hAnsi="Times New Roman" w:cs="Times New Roman"/>
        </w:rPr>
      </w:r>
    </w:p>
    <w:tbl>
      <w:tblPr>
        <w:tblStyle w:val="785"/>
        <w:tblW w:w="0" w:type="auto"/>
        <w:tblBorders/>
        <w:tblLook w:val="04A0" w:firstRow="1" w:lastRow="0" w:firstColumn="1" w:lastColumn="0" w:noHBand="0" w:noVBand="1"/>
      </w:tblPr>
      <w:tblGrid>
        <w:gridCol w:w="2802"/>
        <w:gridCol w:w="2976"/>
        <w:gridCol w:w="3793"/>
      </w:tblGrid>
      <w:tr>
        <w:trPr/>
        <w:tc>
          <w:tcPr>
            <w:tcBorders/>
            <w:tcW w:w="28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деятельности / Вид профессиональной деятельности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оцениваемых ПК/ОК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оцениваемых умений, навыков (практического опыта)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Оформление и компоновка технической документации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ПК: Выполнять ввод и обработку текстовых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набор и редактирования текста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оформление документов таблицами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создавать, настраивать, применять стили в документе с помощью текстового процессора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ПК: Выполнять преобразование данных, связанных с изменениями структуры документов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сохранение документов в различных цифровых форматах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преобразование и перекомпоновка данных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 структурированные документы и документы слияния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изменять структуру и форму текстовых документов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 сложные многостраничные документы с применением импортирование и внедрения текстовых, табличных и графических объектов из разных программных приложений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ПК: Выполнять разметку и форматирование документов различных форматов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создание списков рисунков, литературных источников и оглавлений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8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ОК: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определять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Содержательная структура КОД в соответствии с выбранным уровнем ДЭ включает в себя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2 – Содержательная структура КОД</w:t>
      </w:r>
      <w:r>
        <w:rPr>
          <w:rFonts w:ascii="Times New Roman" w:hAnsi="Times New Roman" w:cs="Times New Roman"/>
        </w:rPr>
      </w:r>
    </w:p>
    <w:tbl>
      <w:tblPr>
        <w:tblStyle w:val="785"/>
        <w:tblW w:w="0" w:type="auto"/>
        <w:tblBorders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деятельности / Вид профессиональной деятельности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оцениваемых ПК/ОК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оцениваемых умений, навыков (практического опыта)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формление и компоновка технической документации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49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Выполнять ввод и обработку текстовых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набор и редактирования текста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оформление документов таблицами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создавать, настраивать, применять стили в документе с помощью текстового процессора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Выполнять преобразование данных, связанных с изменениями структуры документов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сохранении документов в различных цифровых форматах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преобразование и перекомпоновка данных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 структурированные документы и документы слияния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изменять структуру и форму текстовых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документов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создавать сложные многостраничные документы с применением импортирование и внедрения текстовых, табличных и графических объектов из разных программных приложений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Выполнять разметку и форматирование документов различных форматов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создание списков рисунков, литературных источников и оглавлений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ОК.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определять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Конвертировать аналоговые данные в цифровые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сканирование, распознавание и сохранение изображений и текста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Выполнять подготовку цифровых данных для дальнейшей обработки и архивирования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сохранения, копирования и создания резервных копий документов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работать с программами архивирования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Формировать запросы для получения информации в базах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формирование запросов к базам данных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формировать отчеты с помощью запросов к базам данных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Выполнение операции с объектами базы данных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ведение и актуализация информационных баз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выполнять обновление информации в базах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Техническая обработка и размещение информационных ресурсов на сайте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tabs>
                <w:tab w:val="left" w:leader="none" w:pos="477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77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tabs>
                <w:tab w:val="left" w:leader="none" w:pos="477"/>
              </w:tabs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ПК: Структурировать цифровые данные для публикации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фото- или видео-захвата с экрана компьютера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сохранение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медиафайлов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в различных форматах и их оптимизация для публикации в сети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Интернет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7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подготавливать цифровой контент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344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Размещать и обновлять информационный материал через систему управления контентом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размещения и обновления информационных материалов через систему управления контентом (CMS)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397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заполнения служебной информации (названий и идентификаторов страниц, ключевых слов, мета-тегов)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699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размещения новостей на веб-ресурсе и в социальных сетях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408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Устанавливать и разграничивать права доступа к разделам веб- ресурса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установки прав доступа и других характеристик веб- страниц, информационных ресурсов для просмотра и скачивания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954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выполнять регламенты по обеспечению информационной безопасности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31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ПК. Собирать статистику по результатам работы веб- ресурса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Навык: сбора статистических данных по результатам работы веб-ресурса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trHeight w:val="172"/>
        </w:trPr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19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Умение: владеть функциями CMS и социальных сетей для сбора статистики посещаемости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Образцы заданий демонстрационного экзамена представлены в приложении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</w:t>
      </w:r>
      <w:r>
        <w:rPr>
          <w:rFonts w:ascii="Times New Roman" w:hAnsi="Times New Roman" w:cs="Times New Roman"/>
          <w:b/>
        </w:rPr>
        <w:t xml:space="preserve">. ОЦЕНКА РЕЗУЛЬТАТОВ ГОСУДАРСТВЕННОЙ ИТОГОВОЙ АТТЕСТАЦИИ</w:t>
      </w:r>
      <w:r>
        <w:rPr>
          <w:rFonts w:ascii="Times New Roman" w:hAnsi="Times New Roman" w:cs="Times New Roman"/>
          <w:b/>
        </w:rPr>
      </w:r>
    </w:p>
    <w:p>
      <w:pPr>
        <w:pStyle w:val="783"/>
        <w:pBdr/>
        <w:spacing/>
        <w:ind w:firstLine="709"/>
        <w:rPr/>
      </w:pPr>
      <w:r/>
      <w:r/>
    </w:p>
    <w:p>
      <w:pPr>
        <w:pStyle w:val="783"/>
        <w:pBdr/>
        <w:spacing/>
        <w:ind w:firstLine="709"/>
        <w:jc w:val="center"/>
        <w:rPr>
          <w:b/>
        </w:rPr>
      </w:pPr>
      <w:r>
        <w:rPr>
          <w:b/>
        </w:rPr>
        <w:t xml:space="preserve">3</w:t>
      </w:r>
      <w:r>
        <w:rPr>
          <w:b/>
        </w:rPr>
        <w:t xml:space="preserve">.1 </w:t>
      </w:r>
      <w:r>
        <w:rPr>
          <w:b/>
        </w:rPr>
        <w:t xml:space="preserve">О</w:t>
      </w:r>
      <w:r>
        <w:rPr>
          <w:b/>
        </w:rPr>
        <w:t xml:space="preserve">ценк</w:t>
      </w:r>
      <w:r>
        <w:rPr>
          <w:b/>
        </w:rPr>
        <w:t xml:space="preserve">а</w:t>
      </w:r>
      <w:r>
        <w:rPr>
          <w:b/>
        </w:rPr>
        <w:t xml:space="preserve"> результатов выполнения заданий демонстрационного экзамена</w:t>
      </w:r>
      <w:r>
        <w:rPr>
          <w:b/>
        </w:rPr>
      </w:r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Оценку выполнения заданий демонстрационного экзамена осуществляет экспертная группа из числа лиц, приглашенных из сторонних организаций и обла</w:t>
      </w:r>
      <w:r>
        <w:t xml:space="preserve">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</w:t>
      </w:r>
      <w:r>
        <w:t xml:space="preserve">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Состав экспертной группы утверждается руководителем образовательной </w:t>
      </w:r>
      <w:r>
        <w:t xml:space="preserve">организации. Количество экспертов, участвующих в оценке демонстрационного экзамена по профессии 09.01.03 «Оператор информационных систем и ресурсов»  – 3 человека.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 день проведения демонстрационного экзамена в центре проведения экзамена присутствуют: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руководитель (уполномоченный представитель) организации, на базе которой организован центр проведения экзамена;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не менее одного члена ГЭК, не считая членов экспертной группы;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члены экспертной группы;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главный эксперт;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представители организаций-партнеров (по согласованию с образовательной организацией);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выпускники;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технический эксперт;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/>
    </w:p>
    <w:p>
      <w:pPr>
        <w:pStyle w:val="783"/>
        <w:numPr>
          <w:ilvl w:val="0"/>
          <w:numId w:val="22"/>
        </w:numPr>
        <w:pBdr/>
        <w:spacing/>
        <w:ind w:left="851"/>
        <w:jc w:val="both"/>
        <w:rPr/>
      </w:pPr>
      <w:r>
        <w:t xml:space="preserve">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 случае отсутствия в день проведения демонст</w:t>
      </w:r>
      <w: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/>
    </w:p>
    <w:p>
      <w:pPr>
        <w:pStyle w:val="783"/>
        <w:pBdr/>
        <w:spacing/>
        <w:ind/>
        <w:jc w:val="both"/>
        <w:rPr/>
      </w:pPr>
      <w:r>
        <w:t xml:space="preserve">Таблица 3 – Распределение баллов по критериям оценивания</w:t>
      </w:r>
      <w:r/>
    </w:p>
    <w:tbl>
      <w:tblPr>
        <w:tblStyle w:val="785"/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808"/>
        <w:gridCol w:w="3411"/>
        <w:gridCol w:w="4111"/>
        <w:gridCol w:w="1276"/>
      </w:tblGrid>
      <w:tr>
        <w:trPr>
          <w:trHeight w:val="276"/>
        </w:trPr>
        <w:tc>
          <w:tcPr>
            <w:tcBorders/>
            <w:tcW w:w="808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№ п/п</w:t>
            </w:r>
            <w:r/>
          </w:p>
        </w:tc>
        <w:tc>
          <w:tcPr>
            <w:tcBorders/>
            <w:tcW w:w="3411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Модуль задания</w:t>
            </w:r>
            <w:r/>
          </w:p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(вид деятельности, вид профессиональной деятельности)</w:t>
            </w:r>
            <w:r/>
          </w:p>
        </w:tc>
        <w:tc>
          <w:tcPr>
            <w:tcBorders/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Критерий оценивания</w:t>
            </w:r>
            <w:r/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>
                <w:lang w:val="en-US"/>
              </w:rPr>
            </w:pPr>
            <w:r>
              <w:t xml:space="preserve">Баллы</w:t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808" w:type="dxa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34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Оформление и компоновка технической документации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Выполнение ввод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и обработк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текстовых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Выполнение преобразования данных, связанных с изменениями структуры документов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Выполнение разметки и форматирования документов различных форматов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3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Конвертирование аналоговых данных в цифровые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2,00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Выполнение подготовки цифровых данных для дальнейшей обработки и архивирования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5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Формирование запросов для получения информации в базах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4,00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Выполнение операций с объектами базы данных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4,00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Планирование  и реализация собственного профессионального и личностного развития, предпринимательской деятельности в профессиональной сфере, использование знаний по финансовой грамотности в различных жизненных ситуациях.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2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08" w:type="dxa"/>
            <w:vMerge w:val="restart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34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Техническая обработка  и размещение информационных ресурсов на сайте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Структуризация цифровых данных для публикации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 CYR" w:hAnsi="Times New Roman CYR" w:cs="Times New Roman CYR" w:eastAsiaTheme="minorHAnsi"/>
                <w:lang w:eastAsia="en-US"/>
              </w:rPr>
              <w:t xml:space="preserve">Установка и разграничение прав доступа к разделам веб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-</w:t>
            </w:r>
            <w:r>
              <w:rPr>
                <w:rFonts w:ascii="Times New Roman CYR" w:hAnsi="Times New Roman CYR" w:cs="Times New Roman CYR" w:eastAsiaTheme="minorHAnsi"/>
                <w:lang w:eastAsia="en-US"/>
              </w:rPr>
              <w:t xml:space="preserve">ресурса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8,00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 CYR" w:hAnsi="Times New Roman CYR" w:cs="Times New Roman CYR" w:eastAsiaTheme="minorHAnsi"/>
                <w:lang w:eastAsia="en-US"/>
              </w:rPr>
              <w:t xml:space="preserve">Размещение и обновление информационного материала через систему управления контентом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13,00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</w:tc>
      </w:tr>
      <w:tr>
        <w:trPr/>
        <w:tc>
          <w:tcPr>
            <w:tcBorders/>
            <w:tcW w:w="808" w:type="dxa"/>
            <w:vMerge w:val="continue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4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 CYR" w:hAnsi="Times New Roman CYR" w:cs="Times New Roman CYR" w:eastAsiaTheme="minorHAnsi"/>
                <w:lang w:eastAsia="en-US"/>
              </w:rPr>
              <w:t xml:space="preserve">Сбор статистики по результатам работы веб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-</w:t>
            </w:r>
            <w:r>
              <w:rPr>
                <w:rFonts w:ascii="Times New Roman CYR" w:hAnsi="Times New Roman CYR" w:cs="Times New Roman CYR" w:eastAsiaTheme="minorHAnsi"/>
                <w:lang w:eastAsia="en-US"/>
              </w:rPr>
              <w:t xml:space="preserve">ресурса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  <w:t xml:space="preserve">4,00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lang w:eastAsia="en-US"/>
              </w:rPr>
            </w:r>
          </w:p>
        </w:tc>
      </w:tr>
      <w:tr>
        <w:trPr/>
        <w:tc>
          <w:tcPr>
            <w:gridSpan w:val="3"/>
            <w:tcBorders/>
            <w:tcW w:w="8330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right"/>
              <w:rPr/>
            </w:pPr>
            <w:r>
              <w:t xml:space="preserve">Итого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75</w:t>
            </w:r>
            <w:r>
              <w:t xml:space="preserve">,00</w:t>
            </w:r>
            <w:r/>
          </w:p>
        </w:tc>
      </w:tr>
    </w:tbl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/>
        <w:jc w:val="both"/>
        <w:rPr/>
      </w:pPr>
      <w:r>
        <w:t xml:space="preserve">Таблица 4 – Перевод баллов в оценку</w:t>
      </w:r>
      <w:r/>
    </w:p>
    <w:tbl>
      <w:tblPr>
        <w:tblStyle w:val="785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both"/>
              <w:rPr/>
            </w:pPr>
            <w:r>
              <w:rPr>
                <w:rFonts w:eastAsia="Times New Roman"/>
              </w:rPr>
              <w:t xml:space="preserve">Оценка </w:t>
            </w:r>
            <w:r/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"2"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"3"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"4"</w:t>
            </w:r>
            <w:r/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"5"</w:t>
            </w:r>
            <w:r/>
          </w:p>
        </w:tc>
      </w:tr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both"/>
              <w:rPr/>
            </w:pPr>
            <w:r>
              <w:rPr>
                <w:rFonts w:eastAsia="Times New Roman"/>
              </w:rPr>
              <w:t xml:space="preserve">Отношение полученного количества баллов к максимально возможному (в процентах)</w:t>
            </w:r>
            <w:r/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0,00% - </w:t>
            </w:r>
            <w:r>
              <w:rPr>
                <w:rFonts w:eastAsia="Times New Roman"/>
              </w:rPr>
              <w:t xml:space="preserve">24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25</w:t>
            </w:r>
            <w:r>
              <w:rPr>
                <w:rFonts w:eastAsia="Times New Roman"/>
              </w:rPr>
              <w:t xml:space="preserve">,00% -3</w:t>
            </w:r>
            <w:r>
              <w:rPr>
                <w:rFonts w:eastAsia="Times New Roman"/>
              </w:rPr>
              <w:t xml:space="preserve">9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40</w:t>
            </w:r>
            <w:r>
              <w:rPr>
                <w:rFonts w:eastAsia="Times New Roman"/>
              </w:rPr>
              <w:t xml:space="preserve">,00% - </w:t>
            </w:r>
            <w:r>
              <w:rPr>
                <w:rFonts w:eastAsia="Times New Roman"/>
              </w:rPr>
              <w:t xml:space="preserve">7</w:t>
            </w:r>
            <w:r>
              <w:rPr>
                <w:rFonts w:eastAsia="Times New Roman"/>
              </w:rPr>
              <w:t xml:space="preserve">4</w:t>
            </w:r>
            <w:r>
              <w:rPr>
                <w:rFonts w:eastAsia="Times New Roman"/>
              </w:rPr>
              <w:t xml:space="preserve">,99%</w:t>
            </w:r>
            <w:r/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75</w:t>
            </w:r>
            <w:r>
              <w:rPr>
                <w:rFonts w:eastAsia="Times New Roman"/>
              </w:rPr>
              <w:t xml:space="preserve">,00% - 100,00%</w:t>
            </w:r>
            <w:r/>
          </w:p>
        </w:tc>
      </w:tr>
    </w:tbl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Таким образом, получаем следующее распределение баллов.</w:t>
      </w:r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/>
        <w:jc w:val="both"/>
        <w:rPr/>
      </w:pPr>
      <w:r>
        <w:t xml:space="preserve">Таблица 5 – Перевод баллов в оценку в соответствии с КОД </w:t>
      </w:r>
      <w:r/>
    </w:p>
    <w:tbl>
      <w:tblPr>
        <w:tblStyle w:val="785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both"/>
              <w:rPr/>
            </w:pPr>
            <w:r>
              <w:t xml:space="preserve">Оценка ГИА</w:t>
            </w:r>
            <w:r/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«2»</w:t>
            </w:r>
            <w:r/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«3»</w:t>
            </w:r>
            <w:r/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«4»</w:t>
            </w:r>
            <w:r/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«5»</w:t>
            </w:r>
            <w:r/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both"/>
              <w:rPr/>
            </w:pPr>
            <w:r>
              <w:t xml:space="preserve">Количество баллов</w:t>
            </w:r>
            <w:r/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0,00 – </w:t>
            </w:r>
            <w:r>
              <w:t xml:space="preserve">18,74</w:t>
            </w:r>
            <w:r/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18,75</w:t>
            </w:r>
            <w:r>
              <w:t xml:space="preserve">-</w:t>
            </w:r>
            <w:r>
              <w:t xml:space="preserve">29,99</w:t>
            </w:r>
            <w:r/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30</w:t>
            </w:r>
            <w:r>
              <w:t xml:space="preserve">-</w:t>
            </w:r>
            <w:r>
              <w:t xml:space="preserve">56</w:t>
            </w:r>
            <w:r>
              <w:t xml:space="preserve">,</w:t>
            </w:r>
            <w:r>
              <w:t xml:space="preserve">24</w:t>
            </w:r>
            <w:r/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center"/>
              <w:rPr/>
            </w:pPr>
            <w:r>
              <w:t xml:space="preserve">56</w:t>
            </w:r>
            <w:r>
              <w:t xml:space="preserve">,</w:t>
            </w:r>
            <w:r>
              <w:t xml:space="preserve">25</w:t>
            </w:r>
            <w:r>
              <w:t xml:space="preserve">-</w:t>
            </w:r>
            <w:r>
              <w:t xml:space="preserve">75</w:t>
            </w:r>
            <w:r>
              <w:t xml:space="preserve">,0</w:t>
            </w:r>
            <w:r/>
          </w:p>
        </w:tc>
      </w:tr>
    </w:tbl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При выставлении баллов присутствует член ГЭК, не входящий в экспертную группу, присутствие других лиц запрещено.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/>
    </w:p>
    <w:p>
      <w:pPr>
        <w:pStyle w:val="783"/>
        <w:pBdr/>
        <w:spacing/>
        <w:ind w:firstLine="709"/>
        <w:jc w:val="center"/>
        <w:rPr>
          <w:b/>
        </w:rPr>
      </w:pPr>
      <w:r>
        <w:rPr>
          <w:b/>
        </w:rPr>
        <w:t xml:space="preserve">3.2 Общая оценка государственной итоговой аттестации</w:t>
      </w:r>
      <w:r>
        <w:rPr>
          <w:b/>
        </w:rPr>
      </w:r>
    </w:p>
    <w:p>
      <w:pPr>
        <w:pStyle w:val="783"/>
        <w:pBdr/>
        <w:spacing/>
        <w:ind w:firstLine="709"/>
        <w:jc w:val="center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Общая оценка ГИА выставляется по результатам сдачи демонстрационного экзамена.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Решения ГЭК приним</w:t>
      </w:r>
      <w:r>
        <w:t xml:space="preserve">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По результатам ГИА составляется отчет по итогам работы государствен</w:t>
      </w:r>
      <w:bookmarkStart w:id="2" w:name="_GoBack"/>
      <w:r/>
      <w:bookmarkEnd w:id="2"/>
      <w:r>
        <w:t xml:space="preserve">ной экзаменационной комиссии за подписью председателя ГЭК.</w:t>
      </w:r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center"/>
        <w:rPr/>
      </w:pPr>
      <w:r/>
      <w:r/>
    </w:p>
    <w:p>
      <w:pPr>
        <w:pStyle w:val="783"/>
        <w:pBdr/>
        <w:spacing/>
        <w:ind w:firstLine="709"/>
        <w:jc w:val="center"/>
        <w:rPr>
          <w:b/>
        </w:rPr>
      </w:pPr>
      <w:r>
        <w:rPr>
          <w:b/>
        </w:rPr>
        <w:t xml:space="preserve">4.</w:t>
      </w:r>
      <w:r>
        <w:rPr>
          <w:b/>
        </w:rPr>
        <w:t xml:space="preserve"> ПОРЯДОК АПЕЛЛЯЦИИ И ПЕРЕСДАЧИ ГОСУДАРСТВЕННОЙ ИТОГОВОЙ АТТЕСТАЦИИ</w:t>
      </w:r>
      <w:r>
        <w:rPr>
          <w:b/>
        </w:rPr>
      </w:r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По результатам государственной итоговой аттестации, проводимой с приме</w:t>
      </w:r>
      <w:r>
        <w:t xml:space="preserve">нением механизма демонстрационного экзамена,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Апелляция подается лично выпускником в апелляционную комиссию колледжа.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r>
        <w:t xml:space="preserve">конференц-связи</w:t>
      </w:r>
      <w:r>
        <w:t xml:space="preserve">, а равно посредством предоставления письменных пояснений по поставленным апелляционной комиссией вопросам.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Выпускник, подавший апелляцию, имеет право присутствовать при рассмотрении апелляции.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Рассмотрение апелляции не является пересдачей ГИА.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/>
    </w:p>
    <w:p>
      <w:pPr>
        <w:pStyle w:val="783"/>
        <w:numPr>
          <w:ilvl w:val="0"/>
          <w:numId w:val="23"/>
        </w:numPr>
        <w:pBdr/>
        <w:spacing/>
        <w:ind w:left="993"/>
        <w:jc w:val="both"/>
        <w:rPr/>
      </w:pPr>
      <w:r>
        <w:t xml:space="preserve">об отклонении апелляции, если изложенные в ней сведения о нарушениях Порядка не подтвердились и (или) не повлияли на результат ГИА;</w:t>
      </w:r>
      <w:r/>
    </w:p>
    <w:p>
      <w:pPr>
        <w:pStyle w:val="783"/>
        <w:numPr>
          <w:ilvl w:val="0"/>
          <w:numId w:val="23"/>
        </w:numPr>
        <w:pBdr/>
        <w:spacing/>
        <w:ind w:left="993"/>
        <w:jc w:val="both"/>
        <w:rPr/>
      </w:pPr>
      <w:r>
        <w:t xml:space="preserve">об удовлетворении апелляции, если изложенные в ней сведения о допущенных нарушениях Порядка подтвердились и повлияли на результат ГИА.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</w:t>
      </w:r>
      <w: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</w:t>
      </w:r>
      <w:r>
        <w:t xml:space="preserve">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Решение апелляционной комиссии является окончательным и пересмотру не подлежит.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5.2 Порядок пересдачи Государственной итоговой аттестации</w:t>
      </w:r>
      <w:r>
        <w:rPr>
          <w:b/>
          <w:bCs/>
        </w:rPr>
      </w:r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>
        <w:t xml:space="preserve">В случае досрочного завершения ГИА выпускником по н</w:t>
      </w:r>
      <w: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в том числе не явившиеся для прохождени</w:t>
      </w:r>
      <w: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/>
    </w:p>
    <w:p>
      <w:pPr>
        <w:pStyle w:val="783"/>
        <w:pBdr/>
        <w:spacing/>
        <w:ind w:firstLine="709"/>
        <w:jc w:val="both"/>
        <w:rPr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Style w:val="783"/>
        <w:pBdr/>
        <w:spacing/>
        <w:ind w:firstLine="709"/>
        <w:jc w:val="both"/>
        <w:rPr/>
      </w:pPr>
      <w:r/>
      <w:r/>
    </w:p>
    <w:p>
      <w:pPr>
        <w:pBdr/>
        <w:spacing/>
        <w:ind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Примерное задание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экзамена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комплекту оценочной документации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09.01.03 «Оператор информационных систем и ресурсов»,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 - оператор информационных систем и ресурсов,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98"/>
        <w:pBdr/>
        <w:spacing w:line="240" w:lineRule="auto"/>
        <w:ind w:firstLine="0"/>
        <w:jc w:val="center"/>
        <w:rPr>
          <w:b/>
        </w:rPr>
      </w:pPr>
      <w:r>
        <w:rPr>
          <w:b/>
          <w:bCs/>
          <w:color w:val="000000"/>
          <w:lang w:eastAsia="ru-RU" w:bidi="ru-RU"/>
        </w:rPr>
        <w:t xml:space="preserve">Модуль № 1</w:t>
      </w:r>
      <w:r>
        <w:rPr>
          <w:b/>
        </w:rPr>
        <w:t xml:space="preserve">. </w:t>
      </w:r>
      <w:r>
        <w:rPr>
          <w:b/>
          <w:bCs/>
          <w:color w:val="000000"/>
          <w:lang w:eastAsia="ru-RU" w:bidi="ru-RU"/>
        </w:rPr>
        <w:t xml:space="preserve">Оформление и комп</w:t>
      </w:r>
      <w:r>
        <w:rPr>
          <w:b/>
          <w:bCs/>
          <w:color w:val="000000"/>
          <w:lang w:eastAsia="ru-RU" w:bidi="ru-RU"/>
        </w:rPr>
        <w:t xml:space="preserve">оновка технической документации</w:t>
      </w:r>
      <w:r>
        <w:rPr>
          <w:b/>
        </w:rPr>
      </w:r>
    </w:p>
    <w:p>
      <w:pPr>
        <w:pBdr/>
        <w:spacing/>
        <w:ind/>
        <w:jc w:val="center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Задание 1 модуля 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Оформление и компоновка технической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документации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Инструкция по выполнению задания: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6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Выполнить ввод текста в текстовом редакторе на основании предоставленных исходных данных.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6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Произвести форматирование текста в соответствии с условиями форматирования, разметки и соблюдением стиля.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6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Сохранить документ в указанных форматах.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firstLine="708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Создать текстовый документ, и создать отчет по теме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Математика, Царица наук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»,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раскрывающий общий смысл данного утверждения. Текст может быть взят из бумажных источников, документ должен соответствовать следующим требованиям: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Поля документа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все по 1,2 см.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 верхнем колонтитуле имя и группа автора.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Документ должен содержать абзац, оформленный в две колонки.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 тексте должно быть 2 заголовка 1 уровня и 2 заголовка 2 уровня (по одному в каждом разделе).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Шрифт текста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Times</w:t>
      </w:r>
      <w:r>
        <w:rPr>
          <w:rFonts w:eastAsiaTheme="minorHAnsi"/>
          <w:sz w:val="28"/>
          <w:szCs w:val="28"/>
          <w:lang w:eastAsia="en-US"/>
        </w:rPr>
        <w:t xml:space="preserve">, 14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размер, интервал полуторный, красная строка 1,4 см, все абзацы оформлены единым стилем, выравнивание по ширине, перенос по слогам.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 документе должны присутствовать круговая диаграмма, выравнивание рисунков по центру, текст должен обтекать рисунок со всех сторон, сам рисунок должен иметь отступ от текста 0,5 см.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 текс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т должна быть вставлена формула.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7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Сохранить документ в двух форматах: 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doc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 и.pdf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  <w:t xml:space="preserve">Задание 2 Модуля 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Оформление и компоновка технической документации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Инструкция по выполнению задания: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1. С помощью технологии слияния создайте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bCs/>
          <w:sz w:val="28"/>
          <w:szCs w:val="28"/>
          <w:lang w:eastAsia="en-US"/>
        </w:rPr>
        <w:t xml:space="preserve">Уведомление об участии в конференции</w:t>
      </w:r>
      <w:r>
        <w:rPr>
          <w:rFonts w:ascii="Times New Roman CYR" w:hAnsi="Times New Roman CYR" w:cs="Times New Roman CYR" w:eastAsiaTheme="minorHAnsi"/>
          <w:bCs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на 5 адресатов.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Список адресатов: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8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Иванов Иван Иванович, директор ООО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ИТ ПРО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г. Москва, ул.Тверская,7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8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Сидоров Иван Петрович, директор ГБПОУ АМПИ, г. Казань,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ул.Стоковая, 88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8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Николенко Петр Игоревич, инженер ООО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ВКПС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г. Тюмень, ул.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Ленина, 15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8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Серов Валентин Петрович, директор ОАО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Салют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г. Владивосток, ул.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Ямщикова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, 9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28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Панков Всеволод Иванович, директор МБОУ СОШ </w:t>
      </w:r>
      <w:r>
        <w:rPr>
          <w:rFonts w:eastAsiaTheme="minorHAnsi"/>
          <w:sz w:val="28"/>
          <w:szCs w:val="28"/>
          <w:lang w:eastAsia="en-US"/>
        </w:rPr>
        <w:t xml:space="preserve">№6,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г. Иваново, ул.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Степная, 99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firstLine="708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Документы должны содержать следующий текст: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….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1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Источник данных (список)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«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Адресаты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»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 должен содержать не менее 3 полей слияния.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1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 Сохраняете созданные документы в папке в двух форматах: 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docx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 и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pdf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, созданной на рабочем столе, именованной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Фамилия_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задания_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модуля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1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Сохранить созданный документ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1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Выполнить архивирование созданного документ программой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архиватором.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1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Присвойте архиву защиту в виде пароля.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  <w:t xml:space="preserve">Задание 3 Модуля 1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Оформление и компоновка технической документации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Инструкция по выполнению задания: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4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Создать 3 скриншота из представленных изображений в приложении к заданию.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4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Обработать графические данные в соответствии с заданными условиями.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4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Добавить текстовый контент для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каждого из трех слайдов.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4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Выполнить архивирование обработанных данных в соответствии с заданными условиями.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firstLine="708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Подготовленный документ должен соответствовать следующим требованиям: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Скриншоты сделаны из части изображения.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Заголовки перед каждым слайдом.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Скриншоты вставлены с учётом способов обтекания текстом.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Для картинок установлены следующие настройки: для первого рисунка установлена граница (рамка): сплошная линия толщиной 4,5 пт., синего цвета; второй рисунок обрезан по фигуре овал; для третьего рисунка применен эффект сглаживания 10 точек.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Форматирование шрифта: Шрифт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Times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New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Roman</w:t>
      </w:r>
      <w:r>
        <w:rPr>
          <w:rFonts w:eastAsiaTheme="minorHAnsi"/>
          <w:sz w:val="28"/>
          <w:szCs w:val="28"/>
          <w:lang w:eastAsia="en-US"/>
        </w:rPr>
        <w:t xml:space="preserve">», 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пт., выравнивание текста</w:t>
      </w:r>
      <w:r>
        <w:rPr>
          <w:rFonts w:eastAsiaTheme="minorHAnsi"/>
          <w:sz w:val="28"/>
          <w:szCs w:val="28"/>
          <w:lang w:eastAsia="en-US"/>
        </w:rPr>
        <w:t xml:space="preserve">-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по ширине. У заголовков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выравнивание по центру, шрифт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Times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New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Roman</w:t>
      </w:r>
      <w:r>
        <w:rPr>
          <w:rFonts w:eastAsiaTheme="minorHAnsi"/>
          <w:sz w:val="28"/>
          <w:szCs w:val="28"/>
          <w:lang w:eastAsia="en-US"/>
        </w:rPr>
        <w:t xml:space="preserve">», 24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пт.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Сохранить созданную презентацию.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Выполнить архивирование созданного документа программой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архиватором.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5"/>
        </w:numPr>
        <w:pBdr/>
        <w:spacing/>
        <w:ind w:left="709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Присвойте архиву защиту в виде пароля.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firstLine="708"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Сохраните созданные файлы в пап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ке, созданной на рабочем столе,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именованной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Фамилия_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задания_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модуля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left="708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Необходимые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приложения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Отсутствуют.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 w:left="708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Модуль 2. Техническая обработка и размещение информационных ресурсов на сайте (по выбору)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Задание 4 Модуля 1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Оформление и компоновка технической документации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Создайте в новой базе данных 2 таблицы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Студент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и заполните их данными по образцу.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Студент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tbl>
      <w:tblPr>
        <w:tblStyle w:val="785"/>
        <w:tblW w:w="9532" w:type="dxa"/>
        <w:tblBorders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417"/>
        <w:gridCol w:w="1276"/>
        <w:gridCol w:w="1276"/>
        <w:gridCol w:w="1644"/>
        <w:gridCol w:w="1464"/>
        <w:gridCol w:w="1405"/>
      </w:tblGrid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студента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Отчество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Номер телефона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Профессия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Тула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10123337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Кириллович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79954682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Сидорова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Даниэльевн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Белев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36077386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Коновалова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Аделина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69682364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Павел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31621554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Робертович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г.Люберцы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23539715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Егорович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г.Люберцы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06291972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Бирюкова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Артёмовна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4763658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Крючков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62900041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слесарь</w:t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Елизавета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48757127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/>
            <w:tcW w:w="14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</w:t>
            </w: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Работник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tbl>
      <w:tblPr>
        <w:tblStyle w:val="785"/>
        <w:tblW w:w="9532" w:type="dxa"/>
        <w:tblBorders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445"/>
        <w:gridCol w:w="1253"/>
        <w:gridCol w:w="1272"/>
        <w:gridCol w:w="1544"/>
        <w:gridCol w:w="1599"/>
        <w:gridCol w:w="1369"/>
      </w:tblGrid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работник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Отчество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г.Липецк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Машхолдинг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Карасева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Стефания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Еврохим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Евроцемент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Северстальтра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Елизавета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Лукинична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Люберц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Рольф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Данииловна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Люберц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Евросервис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продавец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Давидовна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Фосагро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Даниилови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Русснефть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Цифроград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продавец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 w:eastAsiaTheme="minorHAnsi"/>
          <w:b/>
          <w:bCs/>
          <w:sz w:val="28"/>
          <w:szCs w:val="28"/>
          <w:lang w:val="en-US"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val="en-US"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val="en-US" w:eastAsia="en-US"/>
        </w:rPr>
      </w:r>
    </w:p>
    <w:p>
      <w:pPr>
        <w:pStyle w:val="792"/>
        <w:numPr>
          <w:ilvl w:val="0"/>
          <w:numId w:val="36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оздайте телефонную книгу для всех студентов.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6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оздайте запрос на выборку студентов, из разных городов.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6"/>
        </w:numPr>
        <w:pBdr/>
        <w:spacing/>
        <w:ind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оставьте запрос на выборку работников организаций, которые работают в должности секретарь.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ab/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Сохраните созданные файлы в пап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ке, созданной на рабочем столе,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именованной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Фамилия_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задания_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модуля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  <w:t xml:space="preserve">Задание 1 Модуля 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Техническая обработка и размещение информационных ресурсов на сайте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ab/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Вам даны 3 изображения 1920 на 1080. Необходимо оптимизировать каждое изображение под размер 120х90 пикселов для отображения на мобильном устройстве.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ab/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Сформировать макет слайдера (для мобильного приложения) из оптимизированных изображений. Требования: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7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три изображения отображаются последовательно, в ряд;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7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у изображений закруглены края на 10 пикселов с четырех сторон;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7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слева и справа от крайних изображений располагаются стрелки прокрутки (пиктограммы: влево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вправо);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7"/>
        </w:numPr>
        <w:pBdr/>
        <w:spacing/>
        <w:ind/>
        <w:jc w:val="both"/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дизайн стрелок</w:t>
      </w:r>
      <w:r>
        <w:rPr>
          <w:rFonts w:eastAsiaTheme="minorHAnsi"/>
          <w:sz w:val="28"/>
          <w:szCs w:val="28"/>
          <w:lang w:eastAsia="en-US"/>
        </w:rPr>
        <w:t xml:space="preserve">-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пиктограмм и фона слайдера в современном стиле;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7"/>
        </w:numPr>
        <w:pBdr/>
        <w:spacing/>
        <w:ind/>
        <w:jc w:val="both"/>
        <w:rPr>
          <w:rFonts w:ascii="TimesNewRomanPSMT" w:hAnsi="TimesNewRomanPSMT" w:cs="TimesNewRomanPSMT" w:eastAsiaTheme="minorHAnsi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создать скриншот слайдера и сохранить его с названием </w:t>
      </w:r>
      <w:r>
        <w:rPr>
          <w:rFonts w:ascii="TimesNewRomanPSMT" w:hAnsi="TimesNewRomanPSMT" w:cs="TimesNewRomanPSMT" w:eastAsiaTheme="minorHAnsi"/>
          <w:b/>
          <w:bCs/>
          <w:sz w:val="28"/>
          <w:szCs w:val="28"/>
          <w:lang w:eastAsia="en-US"/>
        </w:rPr>
        <w:t xml:space="preserve">slider.png</w:t>
      </w:r>
      <w:r>
        <w:rPr>
          <w:rFonts w:ascii="TimesNewRomanPSMT" w:hAnsi="TimesNewRomanPSMT" w:cs="TimesNewRomanPSMT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  <w:t xml:space="preserve">Задание 2 Модуля 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bCs/>
          <w:sz w:val="28"/>
          <w:szCs w:val="28"/>
          <w:lang w:eastAsia="en-US"/>
        </w:rPr>
        <w:t xml:space="preserve">Создание корпоративного сайта компании</w:t>
      </w:r>
      <w:r>
        <w:rPr>
          <w:rFonts w:ascii="Times New Roman CYR" w:hAnsi="Times New Roman CYR" w:cs="Times New Roman CYR" w:eastAsiaTheme="minorHAnsi"/>
          <w:b/>
          <w:bCs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Цель работы: разработать и наполнить контентом сайт для компании,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занимающейся производством мебели.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Порядок выполнения: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локальном сервере создать пустую базу данных </w:t>
      </w:r>
      <w:r>
        <w:rPr>
          <w:rFonts w:eastAsiaTheme="minorHAnsi"/>
          <w:sz w:val="28"/>
          <w:szCs w:val="28"/>
          <w:lang w:eastAsia="en-US"/>
        </w:rPr>
        <w:t xml:space="preserve">MySQL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Установить CMS (</w:t>
      </w:r>
      <w:r>
        <w:rPr>
          <w:rFonts w:eastAsiaTheme="minorHAnsi"/>
          <w:sz w:val="28"/>
          <w:szCs w:val="28"/>
          <w:lang w:eastAsia="en-US"/>
        </w:rPr>
        <w:t xml:space="preserve">WordPress</w:t>
      </w:r>
      <w:r>
        <w:rPr>
          <w:rFonts w:eastAsiaTheme="minorHAnsi"/>
          <w:sz w:val="28"/>
          <w:szCs w:val="28"/>
          <w:lang w:eastAsia="en-US"/>
        </w:rPr>
        <w:t xml:space="preserve">/</w:t>
      </w:r>
      <w:r>
        <w:rPr>
          <w:rFonts w:eastAsiaTheme="minorHAnsi"/>
          <w:sz w:val="28"/>
          <w:szCs w:val="28"/>
          <w:lang w:eastAsia="en-US"/>
        </w:rPr>
        <w:t xml:space="preserve">Joomla</w:t>
      </w:r>
      <w:r>
        <w:rPr>
          <w:rFonts w:eastAsiaTheme="minorHAnsi"/>
          <w:sz w:val="28"/>
          <w:szCs w:val="28"/>
          <w:lang w:eastAsia="en-US"/>
        </w:rPr>
        <w:t xml:space="preserve">/другая по выбору).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Учетные данные администратора: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логин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admin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пароль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DEAdmin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Произвести базовые настройки: ссылки ЧПУ - название записи, часовой пояс - UTC +5, краткое описание – Демонстрационный экзамен, Статическая страница – Главная страница </w:t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Создать основные страницы и настроить основное меню: </w:t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pStyle w:val="792"/>
        <w:numPr>
          <w:ilvl w:val="0"/>
          <w:numId w:val="45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Главная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45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Карьера у нас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45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Новости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45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Контакты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Заполнить страницы предложенным текстом и изображениями (Прил_1_ОЗ_КОД 09.01.03-2-2026-М3.zip)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Вывести 3 новости о новинках коллекции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numPr>
          <w:ilvl w:val="0"/>
          <w:numId w:val="39"/>
        </w:numPr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Установить и настроить плагины: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SEO-оптимизации; 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92"/>
        <w:pBdr/>
        <w:spacing/>
        <w: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виджеты соцсетей (ВК, ОК, </w:t>
      </w:r>
      <w:r>
        <w:rPr>
          <w:rFonts w:eastAsiaTheme="minorHAnsi"/>
          <w:sz w:val="28"/>
          <w:szCs w:val="28"/>
          <w:lang w:eastAsia="en-US"/>
        </w:rPr>
        <w:t xml:space="preserve">Рутуб</w:t>
      </w:r>
      <w:r>
        <w:rPr>
          <w:rFonts w:eastAsiaTheme="minorHAnsi"/>
          <w:sz w:val="28"/>
          <w:szCs w:val="28"/>
          <w:lang w:eastAsia="en-US"/>
        </w:rPr>
        <w:t xml:space="preserve">, ТГ).</w:t>
      </w:r>
      <w:r>
        <w:rPr>
          <w:rFonts w:eastAsiaTheme="minorHAnsi"/>
          <w:sz w:val="28"/>
          <w:szCs w:val="28"/>
          <w:lang w:eastAsia="en-US"/>
        </w:rPr>
      </w:r>
    </w:p>
    <w:p>
      <w:pPr>
        <w:pBdr/>
        <w:spacing/>
        <w:ind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Необходимые приложения: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Прил_1_ОЗ_КОД 09.01.03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-2-2026-</w:t>
      </w:r>
      <w:r>
        <w:rPr>
          <w:rFonts w:ascii="Times New Roman CYR" w:hAnsi="Times New Roman CYR" w:cs="Times New Roman CYR" w:eastAsiaTheme="minorHAnsi"/>
          <w:sz w:val="28"/>
          <w:szCs w:val="28"/>
          <w:lang w:eastAsia="en-US"/>
        </w:rPr>
        <w:t xml:space="preserve">М3.zip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Bdr/>
        <w:spacing/>
        <w:ind w:left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798"/>
        <w:pBdr/>
        <w:spacing w:line="240" w:lineRule="auto"/>
        <w:ind w:firstLine="0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</w:r>
      <w:r>
        <w:rPr>
          <w:b/>
          <w:bCs/>
          <w:color w:val="000000"/>
          <w:lang w:eastAsia="ru-RU" w:bidi="ru-RU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 CYR">
    <w:panose1 w:val="020206030504050203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788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7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5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russianLower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4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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9"/>
  </w:num>
  <w:num w:numId="2">
    <w:abstractNumId w:val="16"/>
  </w:num>
  <w:num w:numId="3">
    <w:abstractNumId w:val="39"/>
  </w:num>
  <w:num w:numId="4">
    <w:abstractNumId w:val="22"/>
  </w:num>
  <w:num w:numId="5">
    <w:abstractNumId w:val="34"/>
  </w:num>
  <w:num w:numId="6">
    <w:abstractNumId w:val="25"/>
  </w:num>
  <w:num w:numId="7">
    <w:abstractNumId w:val="0"/>
  </w:num>
  <w:num w:numId="8">
    <w:abstractNumId w:val="1"/>
  </w:num>
  <w:num w:numId="9">
    <w:abstractNumId w:val="2"/>
  </w:num>
  <w:num w:numId="10">
    <w:abstractNumId w:val="17"/>
  </w:num>
  <w:num w:numId="11">
    <w:abstractNumId w:val="9"/>
  </w:num>
  <w:num w:numId="12">
    <w:abstractNumId w:val="27"/>
  </w:num>
  <w:num w:numId="13">
    <w:abstractNumId w:val="28"/>
  </w:num>
  <w:num w:numId="14">
    <w:abstractNumId w:val="6"/>
  </w:num>
  <w:num w:numId="15">
    <w:abstractNumId w:val="24"/>
  </w:num>
  <w:num w:numId="16">
    <w:abstractNumId w:val="20"/>
  </w:num>
  <w:num w:numId="17">
    <w:abstractNumId w:val="31"/>
  </w:num>
  <w:num w:numId="18">
    <w:abstractNumId w:val="44"/>
  </w:num>
  <w:num w:numId="19">
    <w:abstractNumId w:val="21"/>
  </w:num>
  <w:num w:numId="20">
    <w:abstractNumId w:val="8"/>
  </w:num>
  <w:num w:numId="21">
    <w:abstractNumId w:val="38"/>
  </w:num>
  <w:num w:numId="22">
    <w:abstractNumId w:val="33"/>
  </w:num>
  <w:num w:numId="23">
    <w:abstractNumId w:val="12"/>
  </w:num>
  <w:num w:numId="24">
    <w:abstractNumId w:val="19"/>
  </w:num>
  <w:num w:numId="25">
    <w:abstractNumId w:val="10"/>
  </w:num>
  <w:num w:numId="26">
    <w:abstractNumId w:val="7"/>
  </w:num>
  <w:num w:numId="27">
    <w:abstractNumId w:val="40"/>
  </w:num>
  <w:num w:numId="28">
    <w:abstractNumId w:val="11"/>
  </w:num>
  <w:num w:numId="29">
    <w:abstractNumId w:val="42"/>
  </w:num>
  <w:num w:numId="30">
    <w:abstractNumId w:val="41"/>
  </w:num>
  <w:num w:numId="31">
    <w:abstractNumId w:val="37"/>
  </w:num>
  <w:num w:numId="32">
    <w:abstractNumId w:val="15"/>
  </w:num>
  <w:num w:numId="33">
    <w:abstractNumId w:val="43"/>
  </w:num>
  <w:num w:numId="34">
    <w:abstractNumId w:val="13"/>
  </w:num>
  <w:num w:numId="35">
    <w:abstractNumId w:val="18"/>
  </w:num>
  <w:num w:numId="36">
    <w:abstractNumId w:val="3"/>
  </w:num>
  <w:num w:numId="37">
    <w:abstractNumId w:val="36"/>
  </w:num>
  <w:num w:numId="38">
    <w:abstractNumId w:val="30"/>
  </w:num>
  <w:num w:numId="39">
    <w:abstractNumId w:val="32"/>
  </w:num>
  <w:num w:numId="40">
    <w:abstractNumId w:val="5"/>
  </w:num>
  <w:num w:numId="41">
    <w:abstractNumId w:val="26"/>
  </w:num>
  <w:num w:numId="42">
    <w:abstractNumId w:val="23"/>
  </w:num>
  <w:num w:numId="43">
    <w:abstractNumId w:val="4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79"/>
    <w:next w:val="77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79"/>
    <w:next w:val="77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79"/>
    <w:next w:val="7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79"/>
    <w:next w:val="77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79"/>
    <w:next w:val="7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79"/>
    <w:next w:val="77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79"/>
    <w:next w:val="7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79"/>
    <w:next w:val="77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79"/>
    <w:next w:val="77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8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79"/>
    <w:next w:val="77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8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79"/>
    <w:next w:val="77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8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79"/>
    <w:next w:val="77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8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79"/>
    <w:next w:val="77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8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7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80"/>
    <w:link w:val="786"/>
    <w:uiPriority w:val="99"/>
    <w:pPr>
      <w:pBdr/>
      <w:spacing/>
      <w:ind/>
    </w:pPr>
  </w:style>
  <w:style w:type="character" w:styleId="178">
    <w:name w:val="Footer Char"/>
    <w:basedOn w:val="780"/>
    <w:link w:val="788"/>
    <w:uiPriority w:val="99"/>
    <w:pPr>
      <w:pBdr/>
      <w:spacing/>
      <w:ind/>
    </w:pPr>
  </w:style>
  <w:style w:type="paragraph" w:styleId="179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7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8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7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8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8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79"/>
    <w:next w:val="779"/>
    <w:uiPriority w:val="99"/>
    <w:unhideWhenUsed/>
    <w:pPr>
      <w:pBdr/>
      <w:spacing w:after="0" w:afterAutospacing="0"/>
      <w:ind/>
    </w:pPr>
  </w:style>
  <w:style w:type="paragraph" w:styleId="779" w:default="1">
    <w:name w:val="Normal"/>
    <w:qFormat/>
    <w:pPr>
      <w:pBdr/>
      <w:spacing w:after="0" w:line="240" w:lineRule="auto"/>
      <w:ind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 w:customStyle="1">
    <w:name w:val="Рабочий"/>
    <w:basedOn w:val="779"/>
    <w:qFormat/>
    <w:pPr>
      <w:widowControl w:val="false"/>
      <w:pBdr/>
      <w:spacing/>
      <w:ind/>
    </w:pPr>
    <w:rPr>
      <w:rFonts w:ascii="Times New Roman" w:hAnsi="Times New Roman" w:eastAsia="MS Mincho" w:cs="Times New Roman"/>
      <w:color w:val="auto"/>
    </w:rPr>
  </w:style>
  <w:style w:type="paragraph" w:styleId="784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table" w:styleId="785">
    <w:name w:val="Table Grid"/>
    <w:basedOn w:val="781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6">
    <w:name w:val="Header"/>
    <w:basedOn w:val="779"/>
    <w:link w:val="787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 w:eastAsia="MS Mincho" w:cs="Times New Roman"/>
      <w:color w:val="auto"/>
      <w:sz w:val="20"/>
      <w:szCs w:val="20"/>
    </w:rPr>
  </w:style>
  <w:style w:type="character" w:styleId="787" w:customStyle="1">
    <w:name w:val="Верхний колонтитул Знак"/>
    <w:basedOn w:val="780"/>
    <w:link w:val="786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88">
    <w:name w:val="Footer"/>
    <w:basedOn w:val="779"/>
    <w:link w:val="789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 w:eastAsia="MS Mincho" w:cs="Times New Roman"/>
      <w:color w:val="auto"/>
      <w:sz w:val="20"/>
      <w:szCs w:val="20"/>
    </w:rPr>
  </w:style>
  <w:style w:type="character" w:styleId="789" w:customStyle="1">
    <w:name w:val="Нижний колонтитул Знак"/>
    <w:basedOn w:val="780"/>
    <w:link w:val="788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90">
    <w:name w:val="Balloon Text"/>
    <w:basedOn w:val="779"/>
    <w:link w:val="791"/>
    <w:uiPriority w:val="99"/>
    <w:semiHidden/>
    <w:unhideWhenUsed/>
    <w:pPr>
      <w:widowControl w:val="false"/>
      <w:pBdr/>
      <w:spacing/>
      <w:ind/>
    </w:pPr>
    <w:rPr>
      <w:rFonts w:ascii="Tahoma" w:hAnsi="Tahoma" w:eastAsia="MS Mincho" w:cs="Tahoma"/>
      <w:color w:val="auto"/>
      <w:sz w:val="16"/>
      <w:szCs w:val="16"/>
    </w:rPr>
  </w:style>
  <w:style w:type="character" w:styleId="791" w:customStyle="1">
    <w:name w:val="Текст выноски Знак"/>
    <w:basedOn w:val="780"/>
    <w:link w:val="790"/>
    <w:uiPriority w:val="99"/>
    <w:semiHidden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paragraph" w:styleId="792">
    <w:name w:val="List Paragraph"/>
    <w:basedOn w:val="779"/>
    <w:uiPriority w:val="34"/>
    <w:qFormat/>
    <w:pPr>
      <w:widowControl w:val="false"/>
      <w:pBdr/>
      <w:spacing/>
      <w:ind w:left="720"/>
      <w:contextualSpacing w:val="true"/>
    </w:pPr>
    <w:rPr>
      <w:rFonts w:ascii="Times New Roman" w:hAnsi="Times New Roman" w:eastAsia="MS Mincho" w:cs="Times New Roman"/>
      <w:color w:val="auto"/>
      <w:sz w:val="20"/>
      <w:szCs w:val="20"/>
    </w:rPr>
  </w:style>
  <w:style w:type="character" w:styleId="793" w:customStyle="1">
    <w:name w:val="Другое_"/>
    <w:basedOn w:val="780"/>
    <w:link w:val="794"/>
    <w:uiPriority w:val="99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794" w:customStyle="1">
    <w:name w:val="Другое"/>
    <w:basedOn w:val="779"/>
    <w:link w:val="793"/>
    <w:uiPriority w:val="99"/>
    <w:pPr>
      <w:pBdr/>
      <w:spacing/>
      <w:ind/>
    </w:pPr>
    <w:rPr>
      <w:rFonts w:ascii="Times New Roman" w:hAnsi="Times New Roman" w:cs="Times New Roman" w:eastAsiaTheme="minorHAnsi"/>
      <w:color w:val="auto"/>
      <w:sz w:val="20"/>
      <w:szCs w:val="20"/>
      <w:lang w:eastAsia="en-US"/>
    </w:rPr>
  </w:style>
  <w:style w:type="character" w:styleId="795" w:customStyle="1">
    <w:name w:val="Подпись к картинке_"/>
    <w:basedOn w:val="780"/>
    <w:link w:val="797"/>
    <w:pPr>
      <w:pBdr/>
      <w:spacing/>
      <w:ind/>
    </w:pPr>
    <w:rPr>
      <w:rFonts w:ascii="Times New Roman" w:hAnsi="Times New Roman" w:eastAsia="Times New Roman" w:cs="Times New Roman"/>
      <w:sz w:val="30"/>
      <w:szCs w:val="30"/>
    </w:rPr>
  </w:style>
  <w:style w:type="character" w:styleId="796" w:customStyle="1">
    <w:name w:val="Основной текст_"/>
    <w:basedOn w:val="780"/>
    <w:link w:val="798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97" w:customStyle="1">
    <w:name w:val="Подпись к картинке"/>
    <w:basedOn w:val="779"/>
    <w:link w:val="795"/>
    <w:pPr>
      <w:widowControl w:val="false"/>
      <w:pBdr/>
      <w:spacing/>
      <w:ind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paragraph" w:styleId="798" w:customStyle="1">
    <w:name w:val="Основной текст1"/>
    <w:basedOn w:val="779"/>
    <w:link w:val="796"/>
    <w:pPr>
      <w:widowControl w:val="false"/>
      <w:pBdr/>
      <w:spacing w:line="360" w:lineRule="auto"/>
      <w:ind w:firstLine="400"/>
    </w:pPr>
    <w:rPr>
      <w:rFonts w:ascii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5774-C434-4D91-A7E1-992B76C2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Никишина Марина Витальевна</cp:lastModifiedBy>
  <cp:revision>3</cp:revision>
  <dcterms:created xsi:type="dcterms:W3CDTF">2025-11-13T12:52:00Z</dcterms:created>
  <dcterms:modified xsi:type="dcterms:W3CDTF">2025-11-17T03:51:30Z</dcterms:modified>
</cp:coreProperties>
</file>