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7531A9" w:rsidRPr="007531A9" w:rsidRDefault="007531A9" w:rsidP="007531A9">
            <w:pPr>
              <w:jc w:val="center"/>
              <w:rPr>
                <w:sz w:val="24"/>
                <w:szCs w:val="24"/>
              </w:rPr>
            </w:pPr>
            <w:r w:rsidRPr="007531A9">
              <w:rPr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:rsidR="007531A9" w:rsidRPr="007531A9" w:rsidRDefault="007531A9" w:rsidP="00753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531A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7531A9" w:rsidP="007531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31A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СОГЛАСОВАНО</w:t>
            </w:r>
          </w:p>
          <w:p w:rsidR="00FA3078" w:rsidRPr="00996CD1" w:rsidRDefault="00E700DB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Председатель ГЭ</w:t>
            </w:r>
            <w:r w:rsidR="002E7105" w:rsidRPr="00996CD1">
              <w:rPr>
                <w:sz w:val="28"/>
                <w:szCs w:val="28"/>
              </w:rPr>
              <w:t>К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7313EF" w:rsidRPr="00996CD1">
              <w:rPr>
                <w:sz w:val="28"/>
                <w:szCs w:val="28"/>
              </w:rPr>
              <w:t>И.Г. Вдовин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996CD1" w:rsidRPr="00996CD1">
              <w:rPr>
                <w:sz w:val="28"/>
                <w:szCs w:val="28"/>
              </w:rPr>
              <w:t>7</w:t>
            </w:r>
            <w:r w:rsidRPr="00996CD1">
              <w:rPr>
                <w:sz w:val="28"/>
                <w:szCs w:val="28"/>
              </w:rPr>
              <w:t xml:space="preserve">» </w:t>
            </w:r>
            <w:r w:rsidR="00996CD1" w:rsidRPr="00996CD1">
              <w:rPr>
                <w:sz w:val="28"/>
                <w:szCs w:val="28"/>
              </w:rPr>
              <w:t>дека</w:t>
            </w:r>
            <w:r w:rsidR="00C53485" w:rsidRPr="00996CD1">
              <w:rPr>
                <w:sz w:val="28"/>
                <w:szCs w:val="28"/>
              </w:rPr>
              <w:t>бря</w:t>
            </w:r>
            <w:r w:rsidRPr="00996CD1">
              <w:rPr>
                <w:sz w:val="28"/>
                <w:szCs w:val="28"/>
              </w:rPr>
              <w:t xml:space="preserve"> 20</w:t>
            </w:r>
            <w:r w:rsidR="005E5696" w:rsidRPr="00996CD1">
              <w:rPr>
                <w:sz w:val="28"/>
                <w:szCs w:val="28"/>
              </w:rPr>
              <w:t>22</w:t>
            </w:r>
            <w:r w:rsidRPr="00996CD1">
              <w:rPr>
                <w:sz w:val="28"/>
                <w:szCs w:val="28"/>
              </w:rPr>
              <w:t xml:space="preserve"> г.</w:t>
            </w:r>
          </w:p>
          <w:p w:rsidR="00FA3078" w:rsidRPr="00996CD1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996CD1">
              <w:rPr>
                <w:sz w:val="28"/>
                <w:szCs w:val="28"/>
              </w:rPr>
              <w:t xml:space="preserve">УТВЕРЖДАЮ </w:t>
            </w:r>
          </w:p>
          <w:p w:rsidR="00FA3078" w:rsidRPr="00996CD1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Директор </w:t>
            </w:r>
            <w:r w:rsidR="00FA3078" w:rsidRPr="00996CD1">
              <w:rPr>
                <w:sz w:val="28"/>
                <w:szCs w:val="28"/>
              </w:rPr>
              <w:t>ГБПОУ УКРТБ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2E7105" w:rsidRPr="00996CD1">
              <w:rPr>
                <w:sz w:val="28"/>
                <w:szCs w:val="28"/>
              </w:rPr>
              <w:t>И.В. Нуйкин</w:t>
            </w:r>
          </w:p>
          <w:p w:rsidR="00FA3078" w:rsidRPr="00996CD1" w:rsidRDefault="001B3B57" w:rsidP="001B3B57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996CD1" w:rsidRPr="00996CD1">
              <w:rPr>
                <w:sz w:val="28"/>
                <w:szCs w:val="28"/>
              </w:rPr>
              <w:t>7» дека</w:t>
            </w:r>
            <w:r w:rsidR="005E5696" w:rsidRPr="00996CD1">
              <w:rPr>
                <w:sz w:val="28"/>
                <w:szCs w:val="28"/>
              </w:rPr>
              <w:t>бря 2022</w:t>
            </w:r>
            <w:r w:rsidRPr="00996CD1">
              <w:rPr>
                <w:sz w:val="28"/>
                <w:szCs w:val="28"/>
              </w:rPr>
              <w:t xml:space="preserve"> г.</w:t>
            </w:r>
            <w:bookmarkEnd w:id="0"/>
            <w:bookmarkEnd w:id="1"/>
            <w:r w:rsidRPr="00996CD1">
              <w:rPr>
                <w:sz w:val="28"/>
                <w:szCs w:val="28"/>
              </w:rPr>
              <w:tab/>
            </w: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1753E5" w:rsidRDefault="001753E5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60"/>
        <w:gridCol w:w="235"/>
        <w:gridCol w:w="5930"/>
        <w:gridCol w:w="1166"/>
      </w:tblGrid>
      <w:tr w:rsidR="00FA3078" w:rsidRPr="006844E5" w:rsidTr="001753E5">
        <w:tc>
          <w:tcPr>
            <w:tcW w:w="1196" w:type="dxa"/>
            <w:gridSpan w:val="2"/>
            <w:tcBorders>
              <w:right w:val="nil"/>
            </w:tcBorders>
          </w:tcPr>
          <w:p w:rsidR="00FA3078" w:rsidRPr="007313EF" w:rsidRDefault="007313EF" w:rsidP="000158C4">
            <w:pPr>
              <w:jc w:val="center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09.02.03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7313EF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3078" w:rsidRPr="007313EF" w:rsidRDefault="007313EF" w:rsidP="000158C4">
            <w:pPr>
              <w:jc w:val="both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1753E5" w:rsidRPr="006844E5" w:rsidTr="001753E5">
        <w:trPr>
          <w:gridAfter w:val="1"/>
          <w:wAfter w:w="119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53E5" w:rsidRPr="006844E5" w:rsidRDefault="001753E5" w:rsidP="001753E5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  <w:r w:rsidR="009B6AFF">
              <w:rPr>
                <w:i/>
              </w:rPr>
              <w:t xml:space="preserve">                         </w:t>
            </w:r>
            <w:r>
              <w:rPr>
                <w:i/>
              </w:rPr>
              <w:t xml:space="preserve"> н</w:t>
            </w:r>
            <w:r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Pr="006844E5">
              <w:rPr>
                <w:i/>
              </w:rPr>
              <w:t>специальности</w:t>
            </w:r>
          </w:p>
          <w:p w:rsidR="001753E5" w:rsidRDefault="001753E5" w:rsidP="007313EF">
            <w:pPr>
              <w:rPr>
                <w:i/>
              </w:rPr>
            </w:pPr>
          </w:p>
          <w:p w:rsidR="001753E5" w:rsidRPr="006844E5" w:rsidRDefault="001753E5" w:rsidP="009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B6A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9B6AFF">
              <w:rPr>
                <w:sz w:val="28"/>
                <w:szCs w:val="28"/>
              </w:rPr>
              <w:t xml:space="preserve">базовой </w:t>
            </w:r>
            <w:r>
              <w:rPr>
                <w:sz w:val="28"/>
                <w:szCs w:val="28"/>
              </w:rPr>
              <w:t>подготовки</w:t>
            </w:r>
          </w:p>
        </w:tc>
      </w:tr>
      <w:tr w:rsidR="001753E5" w:rsidRPr="006844E5" w:rsidTr="001753E5">
        <w:tc>
          <w:tcPr>
            <w:tcW w:w="1196" w:type="dxa"/>
            <w:gridSpan w:val="2"/>
            <w:tcBorders>
              <w:bottom w:val="nil"/>
              <w:right w:val="nil"/>
            </w:tcBorders>
          </w:tcPr>
          <w:p w:rsidR="001753E5" w:rsidRPr="006844E5" w:rsidRDefault="001753E5" w:rsidP="000158C4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753E5" w:rsidRDefault="001753E5" w:rsidP="007313EF">
            <w:pPr>
              <w:rPr>
                <w:i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информационных технологий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D34249" w:rsidRDefault="00FA3078" w:rsidP="00D34249">
      <w:pPr>
        <w:jc w:val="center"/>
        <w:rPr>
          <w:b/>
          <w:sz w:val="28"/>
          <w:szCs w:val="28"/>
        </w:rPr>
      </w:pPr>
      <w:r w:rsidRPr="00EC4E22">
        <w:rPr>
          <w:sz w:val="28"/>
          <w:szCs w:val="24"/>
        </w:rPr>
        <w:t>Уфа</w:t>
      </w:r>
      <w:r w:rsidR="005E5696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5E5696">
        <w:rPr>
          <w:sz w:val="28"/>
          <w:szCs w:val="24"/>
        </w:rPr>
        <w:t>22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  <w:r w:rsidR="00D34249" w:rsidRPr="00D95EE7">
        <w:rPr>
          <w:b/>
          <w:sz w:val="28"/>
          <w:szCs w:val="28"/>
        </w:rPr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8"/>
        <w:gridCol w:w="547"/>
      </w:tblGrid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3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государственной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10</w:t>
            </w:r>
          </w:p>
        </w:tc>
      </w:tr>
      <w:tr w:rsidR="00DC5C5F" w:rsidRPr="00D91DA4" w:rsidTr="000158C4">
        <w:tc>
          <w:tcPr>
            <w:tcW w:w="9014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12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7313EF" w:rsidTr="004E4868">
        <w:tc>
          <w:tcPr>
            <w:tcW w:w="1196" w:type="dxa"/>
            <w:tcBorders>
              <w:right w:val="nil"/>
            </w:tcBorders>
          </w:tcPr>
          <w:p w:rsidR="004E4868" w:rsidRPr="007313EF" w:rsidRDefault="007313EF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09.02.03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7313EF" w:rsidRDefault="007313EF" w:rsidP="000158C4">
            <w:pPr>
              <w:jc w:val="both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4E4868" w:rsidRPr="007313EF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7313EF" w:rsidRDefault="004E4868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7313EF" w:rsidRDefault="00D91DA4" w:rsidP="00D91D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4E4868" w:rsidRPr="007313EF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7313EF">
        <w:rPr>
          <w:sz w:val="24"/>
          <w:szCs w:val="24"/>
        </w:rPr>
        <w:t>в части освоения видов профессиональной деятельности:</w:t>
      </w:r>
      <w:r w:rsidR="007313EF" w:rsidRPr="007313EF">
        <w:rPr>
          <w:sz w:val="24"/>
          <w:szCs w:val="24"/>
        </w:rPr>
        <w:t xml:space="preserve"> совокупность методов и средств для разработки, сопровождения и эксплуатации программного обеспечения компьютерных систем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5D110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9B6AFF">
        <w:rPr>
          <w:b/>
          <w:sz w:val="24"/>
          <w:szCs w:val="24"/>
        </w:rPr>
        <w:t>базовой</w:t>
      </w:r>
      <w:r w:rsidR="00FC0D07">
        <w:rPr>
          <w:b/>
          <w:sz w:val="24"/>
          <w:szCs w:val="24"/>
        </w:rPr>
        <w:t xml:space="preserve"> 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="00531F2C">
        <w:rPr>
          <w:sz w:val="24"/>
          <w:szCs w:val="24"/>
        </w:rPr>
        <w:t>Иметь практический опыт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проведения тестирования программного модуля по определенному сценарию;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средств заполнения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стандартных методов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выработке требований к программному обеспечению;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проектировании программного обеспечения с использованием специализированных программных пакетов;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измерения характеристик программного проекта;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основных методологий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оптимизации программного кода с использованием специализированных программных средств;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настройки отдельных компонент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выполнения отдельных видов работ на этапе поддержки программного обеспечения компьютерной системы.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Уметь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параметрами загрузки операционной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конфигурирование аппаратных устройств;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дисками и файловыми системами, настраивать сетевые параметры, - управлять разделением ресурсов в локальной сети;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получать информацию о параметрах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выбирать рациональную конфигурацию оборудования в соответствии с решаемой задачей;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совместимость аппаратного 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модернизацию аппаратных средств;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текстовую и числовую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в среде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находить и использовать необходимую экономическую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защищать свои права в соответствии с трудовым законодательством;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алгоритмы для конкретных задач;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сложность работы алгоритмов;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первичные средства пожаротушения;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оказывать первую помощь пострадавшим;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выполнять отладку и тестирование программы на уровне модуля;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оформлять документацию на программные средства;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инструментальные средства для автоматизации оформления документации;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объекты баз данных в современных СУБД и управлять доступом к этим объектам;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современными Case-средствами проектирования баз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формировать и настраивать схему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прикладные программы с использованием языка SQL;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хранимые процедуры и триггеры на базах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стандартные методы для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владеть основными методологиями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 Знать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понятия, функции, состав и принципы работы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архитектуры современных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особенности построения и функционирования семейств операционных </w:t>
      </w:r>
      <w:r w:rsidRPr="009B6AFF">
        <w:rPr>
          <w:rFonts w:eastAsia="Times New Roman"/>
          <w:sz w:val="24"/>
          <w:szCs w:val="24"/>
          <w:lang w:val="en-US"/>
        </w:rPr>
        <w:t>c</w:t>
      </w:r>
      <w:r w:rsidRPr="009B6AFF">
        <w:rPr>
          <w:rFonts w:eastAsia="Times New Roman"/>
          <w:sz w:val="24"/>
          <w:szCs w:val="24"/>
        </w:rPr>
        <w:t xml:space="preserve">истем </w:t>
      </w:r>
      <w:r w:rsidRPr="009B6AFF">
        <w:rPr>
          <w:rFonts w:eastAsia="Times New Roman"/>
          <w:sz w:val="24"/>
          <w:szCs w:val="24"/>
          <w:lang w:val="en-US"/>
        </w:rPr>
        <w:t>Unix</w:t>
      </w:r>
      <w:r w:rsidRPr="009B6AFF">
        <w:rPr>
          <w:rFonts w:eastAsia="Times New Roman"/>
          <w:sz w:val="24"/>
          <w:szCs w:val="24"/>
        </w:rPr>
        <w:t xml:space="preserve"> и </w:t>
      </w:r>
      <w:r w:rsidRPr="009B6AFF">
        <w:rPr>
          <w:rFonts w:eastAsia="Times New Roman"/>
          <w:sz w:val="24"/>
          <w:szCs w:val="24"/>
          <w:lang w:val="en-US"/>
        </w:rPr>
        <w:t>Windows</w:t>
      </w:r>
      <w:r w:rsidRPr="009B6AFF">
        <w:rPr>
          <w:rFonts w:eastAsia="Times New Roman"/>
          <w:sz w:val="24"/>
          <w:szCs w:val="24"/>
        </w:rPr>
        <w:t>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управления ресурсами в операционной системе;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задачи администрирования и способы их выполнения в изучаемых операционных системах;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понятия и основные принципы построения архитектур вычислительных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вычислительных систем и их архитектурные особенности;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принцип работы основных логических блоков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процессы обработки информации на всех уровнях компьютерных архитектур;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компоненты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принципы управления ресурсами и организации доступа к этим ресурсам основные конструктивные элементы средств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периферийные устройства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нестандартные периферийные устройства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состав, структуру, принципы реализации и функционирования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и прикладные информационные технологии;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инструментальные средства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этапы решения задачи на компьютере;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конструкции изучаемых языков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структурного и модульного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общие положения экономической теории;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производственного и технологического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разработки бизнес-плана права и обязанности работников в сфере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модели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построения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вычисления сложности работы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реализации;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военной службы и обороны государства;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защиты населения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имеются военно-учетные специальности, родственные специальностям СПО;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порядок и правила оказания первой помощи основные этапы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технологии структурного и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отладки и тестирования  программных продуктов;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технической документации;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теории баз данных, хранилищ данных, баз знаний;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концептуальной, логической и физической модели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современные инструментальные средства разработки схемы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описания схем баз данных в современных   СУБД;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структуры данных СУБД, общий подход к организации представлений, таблиц, индексов и кластеров;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целостности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контроля доступа к данным и управления привилегиями;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защиты данных в базах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модели и структуры информационных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сетевых топологий, приемы работы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информационные ресурсы компьютерных сетей;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технологии передачи и обмена данными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разработки приложений баз данных модели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подходы к интегрированию программных модулей;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эффективной разработки;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верификации и аттестации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концепции и реализации программных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построения, структуры и приемы работы с инструментальными средствами,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поддерживающими создание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работы в коллективах разработчиков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стандарты качества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программной документации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математических моделей, используемых при описании сложных систем и при принятии решений;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классификацию моделей, систем, задач и методов;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проведения вычислительного эксперимента на ЭВМ;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исследования математических моделей разных типов;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Pr="00531F2C">
        <w:rPr>
          <w:sz w:val="24"/>
          <w:szCs w:val="24"/>
        </w:rPr>
        <w:t xml:space="preserve">В результате освоения основной образовательной </w:t>
      </w:r>
      <w:r w:rsidR="009B6AFF">
        <w:rPr>
          <w:sz w:val="24"/>
          <w:szCs w:val="24"/>
        </w:rPr>
        <w:t>техник-</w:t>
      </w:r>
      <w:r w:rsidR="00FC0D07" w:rsidRPr="009B6AFF">
        <w:rPr>
          <w:sz w:val="24"/>
          <w:szCs w:val="24"/>
        </w:rPr>
        <w:t>программист</w:t>
      </w:r>
      <w:r w:rsidRPr="009B6AFF"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512EB" w:rsidRDefault="00D512EB" w:rsidP="00C0688A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9B6AFF">
        <w:rPr>
          <w:sz w:val="24"/>
          <w:szCs w:val="24"/>
        </w:rPr>
        <w:t>Техник-п</w:t>
      </w:r>
      <w:r w:rsidR="00FC0D07">
        <w:rPr>
          <w:sz w:val="24"/>
          <w:szCs w:val="24"/>
        </w:rPr>
        <w:t>рограммист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1. Разработка программных модулей программного обеспечения для компьютерных систем.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1.1. Выполнять разработку спецификаций отдельных компонент.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1.3. Выполнять отладку программных модулей с использованием специализированных программный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1.4. Выполнять тестирование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1.5. Осуществлять оптимизацию программного кода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2. Разработка и администрирование баз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2.1. Разрабатывать объекты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2.2. Реализовывать базу данных в конкретной СУБД.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2.3. Решать вопросы администрирования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3. Участие в интеграции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3.2. Выполнять интеграцию модулей в программную систему.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3.3. Выполнять отладку программного продукта с использованием специализированных программных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3.6. Разрабатывать технологическую документацию.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4. Работа по профессии «Оператор ЭВМ».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>ПК 4.1. Подготавливать к работе, настраивать аппаратное обеспечение и операционную систему персонального компьютера.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2"/>
          <w:szCs w:val="22"/>
        </w:rPr>
        <w:t>ПК 4.2. Подготавливать к работе, настраивать периферийные устройства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ind w:left="680" w:hanging="38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ПК 4.3. </w:t>
      </w:r>
      <w:r w:rsidRPr="009B6AFF">
        <w:rPr>
          <w:rFonts w:eastAsia="Times New Roman"/>
          <w:sz w:val="22"/>
          <w:szCs w:val="22"/>
        </w:rPr>
        <w:t>Осуществлять ввод и обмен данными между персональным компьютером 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 xml:space="preserve"> периферийными устройствами и ресурсами локальных компьютерных сетей.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1" w:hanging="38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ПК 4.4. Создавать и управлять на персональном компьютере текстовыми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документами, таблицами, презентациями и содержанием баз данных.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4.5. </w:t>
      </w:r>
      <w:r w:rsidRPr="009B6AFF">
        <w:rPr>
          <w:rFonts w:eastAsia="Times New Roman"/>
          <w:sz w:val="22"/>
          <w:szCs w:val="22"/>
        </w:rPr>
        <w:t>Осуществлять навигацию по ресурсам, поиск, ввод и передачу данных с помощью технологий и сервисов Интернета.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4.6. </w:t>
      </w:r>
      <w:r w:rsidRPr="009B6AFF">
        <w:rPr>
          <w:rFonts w:eastAsia="Times New Roman"/>
          <w:sz w:val="22"/>
          <w:szCs w:val="22"/>
        </w:rPr>
        <w:t>Создавать и обрабатывать цифровые изображения.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4.7. </w:t>
      </w:r>
      <w:r w:rsidRPr="009B6AFF">
        <w:rPr>
          <w:rFonts w:eastAsia="Times New Roman"/>
          <w:sz w:val="22"/>
          <w:szCs w:val="22"/>
        </w:rPr>
        <w:t>Применять средства защиты персонального компьютера.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5. Разработка </w:t>
      </w:r>
      <w:r w:rsidRPr="009B6AFF">
        <w:rPr>
          <w:rFonts w:eastAsia="Times New Roman"/>
          <w:sz w:val="24"/>
          <w:szCs w:val="24"/>
          <w:lang w:val="en-US"/>
        </w:rPr>
        <w:t>web</w:t>
      </w:r>
      <w:r w:rsidRPr="009B6AFF">
        <w:rPr>
          <w:rFonts w:eastAsia="Times New Roman"/>
          <w:sz w:val="24"/>
          <w:szCs w:val="24"/>
        </w:rPr>
        <w:t>- приложений.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5.1. </w:t>
      </w:r>
      <w:r w:rsidRPr="009B6AFF">
        <w:rPr>
          <w:rFonts w:eastAsia="Times New Roman"/>
          <w:sz w:val="22"/>
          <w:szCs w:val="22"/>
        </w:rPr>
        <w:t>Создавать графические объекты.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5.2. </w:t>
      </w:r>
      <w:r w:rsidRPr="009B6AFF">
        <w:rPr>
          <w:rFonts w:eastAsia="Times New Roman"/>
          <w:sz w:val="22"/>
          <w:szCs w:val="22"/>
        </w:rPr>
        <w:t>Создавать программный код web-документа.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5.3. </w:t>
      </w:r>
      <w:r w:rsidRPr="009B6AFF">
        <w:rPr>
          <w:rFonts w:eastAsia="Times New Roman"/>
          <w:sz w:val="22"/>
          <w:szCs w:val="22"/>
        </w:rPr>
        <w:t>Разрабатывать техническую документацию web-приложений.</w:t>
      </w:r>
    </w:p>
    <w:p w:rsid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     ПК 5.4.</w:t>
      </w:r>
      <w:r w:rsidRPr="009B6AFF">
        <w:rPr>
          <w:rFonts w:eastAsia="Times New Roman"/>
          <w:sz w:val="22"/>
          <w:szCs w:val="22"/>
        </w:rPr>
        <w:t xml:space="preserve"> Применять средства защиты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</w:p>
    <w:p w:rsidR="00423854" w:rsidRPr="00423854" w:rsidRDefault="00FC0D07" w:rsidP="00FC0D07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 </w:t>
      </w:r>
      <w:r w:rsidR="00423854"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FC0D07">
        <w:rPr>
          <w:sz w:val="24"/>
          <w:szCs w:val="24"/>
        </w:rPr>
        <w:t>май, июнь</w:t>
      </w:r>
      <w:r w:rsidRPr="00FC0D0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FC0D0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9B6AFF" w:rsidRPr="009B6AFF">
        <w:t>ПМ.01. «Разработка программных модулей программного обеспечения для компьютерных систем», ПМ.02. «Разработка и администрирование баз данных», ПМ.03. «Участие в интегр</w:t>
      </w:r>
      <w:r w:rsidR="009B6AFF">
        <w:t>ации программных модулей», ПМ 05</w:t>
      </w:r>
      <w:r w:rsidR="009B6AFF" w:rsidRPr="009B6AFF">
        <w:t xml:space="preserve"> «Разработка web-приложений» специальности 09.02.03 «Программирование в компьютерных системах».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</w:t>
      </w:r>
      <w:r w:rsidR="009C2D24" w:rsidRPr="00FC0D07">
        <w:rPr>
          <w:sz w:val="24"/>
          <w:szCs w:val="24"/>
        </w:rPr>
        <w:t>разрабо</w:t>
      </w:r>
      <w:r w:rsidR="00FC0D07" w:rsidRPr="00FC0D07">
        <w:rPr>
          <w:sz w:val="24"/>
          <w:szCs w:val="24"/>
        </w:rPr>
        <w:t xml:space="preserve">танный программный продукт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5132F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ВКР должен быть не менее 40</w:t>
      </w:r>
      <w:r w:rsidR="00E33F58" w:rsidRPr="0005132F">
        <w:rPr>
          <w:sz w:val="24"/>
          <w:szCs w:val="24"/>
        </w:rPr>
        <w:t xml:space="preserve"> </w:t>
      </w:r>
      <w:r w:rsidR="000E111E" w:rsidRPr="006A156D">
        <w:rPr>
          <w:sz w:val="24"/>
          <w:szCs w:val="24"/>
        </w:rPr>
        <w:t>страниц 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AF0727">
        <w:t>Э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вопросы членов </w:t>
      </w:r>
      <w:r w:rsidR="00AF0727">
        <w:rPr>
          <w:sz w:val="24"/>
          <w:szCs w:val="24"/>
        </w:rPr>
        <w:t>ГЭК</w:t>
      </w:r>
      <w:r w:rsidRPr="006A156D">
        <w:rPr>
          <w:sz w:val="24"/>
          <w:szCs w:val="24"/>
        </w:rPr>
        <w:t xml:space="preserve">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 xml:space="preserve">выступление руководителя ВКР и рецензента (если они присутствуют на заседании </w:t>
      </w:r>
      <w:r w:rsidR="00AF0727">
        <w:rPr>
          <w:sz w:val="24"/>
          <w:szCs w:val="24"/>
        </w:rPr>
        <w:t>ГЭК</w:t>
      </w:r>
      <w:r w:rsidR="006A156D" w:rsidRPr="006A156D">
        <w:rPr>
          <w:sz w:val="24"/>
          <w:szCs w:val="24"/>
        </w:rPr>
        <w:t>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AF072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AF0727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A90ED1" w:rsidRDefault="00A90ED1" w:rsidP="000D66D3">
      <w:pPr>
        <w:pStyle w:val="a3"/>
        <w:ind w:firstLine="709"/>
        <w:jc w:val="both"/>
      </w:pPr>
      <w:r>
        <w:t xml:space="preserve"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AF0727">
        <w:t>Э</w:t>
      </w:r>
      <w:r>
        <w:t xml:space="preserve">К простым большинством голосов членов </w:t>
      </w:r>
      <w:r w:rsidR="00AF0727">
        <w:t>ГЭК</w:t>
      </w:r>
      <w:r>
        <w:t xml:space="preserve">. При равенстве голосов, решение принимает председатель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 xml:space="preserve">По результатам защиты составляется отчет о защите выпускных квалификационных работ за подписью председателя </w:t>
      </w:r>
      <w:r w:rsidR="00AF0727">
        <w:t>ГЭК</w:t>
      </w:r>
      <w:r>
        <w:t>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t>Приложение 1</w:t>
      </w:r>
    </w:p>
    <w:p w:rsidR="00FC0D07" w:rsidRPr="00F95935" w:rsidRDefault="00FC0D0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продуктов.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информационных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4. Разработка электронных библиотек.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Разработка поисковых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Автоматизация производственных процессов.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Разработка автоматизированных рабочих мест.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8. Разработка </w:t>
      </w:r>
      <w:r w:rsidRPr="00FC0D07">
        <w:rPr>
          <w:rFonts w:eastAsia="Times New Roman"/>
          <w:sz w:val="24"/>
          <w:szCs w:val="24"/>
          <w:lang w:val="en-US"/>
        </w:rPr>
        <w:t>web</w:t>
      </w:r>
      <w:r w:rsidRPr="00FC0D07">
        <w:rPr>
          <w:rFonts w:eastAsia="Times New Roman"/>
          <w:sz w:val="24"/>
          <w:szCs w:val="24"/>
        </w:rPr>
        <w:t>-приложений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9. Разработка мультимедийных электронных учебных пособий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10. Разработка мобильных приложений.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11. Разработка интернет-порталов.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12. Разработка симуляторов.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13. Разработка приложений с элементами дополненной реальности.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14. Разработка игровых программ.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15. Разработка обучающих программ.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9B6AF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C80" w:rsidRDefault="00231C80" w:rsidP="00EE303A">
      <w:r>
        <w:separator/>
      </w:r>
    </w:p>
  </w:endnote>
  <w:endnote w:type="continuationSeparator" w:id="0">
    <w:p w:rsidR="00231C80" w:rsidRDefault="00231C80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996CD1">
          <w:rPr>
            <w:noProof/>
          </w:rPr>
          <w:t>12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C80" w:rsidRDefault="00231C80" w:rsidP="00EE303A">
      <w:r>
        <w:separator/>
      </w:r>
    </w:p>
  </w:footnote>
  <w:footnote w:type="continuationSeparator" w:id="0">
    <w:p w:rsidR="00231C80" w:rsidRDefault="00231C80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activeWritingStyle w:appName="MSWord" w:lang="ru-RU" w:vendorID="64" w:dllVersion="6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8"/>
    <w:rsid w:val="00006A72"/>
    <w:rsid w:val="0005132F"/>
    <w:rsid w:val="0009200D"/>
    <w:rsid w:val="000D66D3"/>
    <w:rsid w:val="000E111E"/>
    <w:rsid w:val="0010785B"/>
    <w:rsid w:val="001753E5"/>
    <w:rsid w:val="001A0BB8"/>
    <w:rsid w:val="001A35D4"/>
    <w:rsid w:val="001B3542"/>
    <w:rsid w:val="001B3B57"/>
    <w:rsid w:val="001C0418"/>
    <w:rsid w:val="001D79B1"/>
    <w:rsid w:val="001E1BAD"/>
    <w:rsid w:val="00203DD8"/>
    <w:rsid w:val="00231C80"/>
    <w:rsid w:val="0025352D"/>
    <w:rsid w:val="00274081"/>
    <w:rsid w:val="002904DB"/>
    <w:rsid w:val="002E7105"/>
    <w:rsid w:val="00342F6C"/>
    <w:rsid w:val="00364AD9"/>
    <w:rsid w:val="00380C50"/>
    <w:rsid w:val="004156A6"/>
    <w:rsid w:val="004227D1"/>
    <w:rsid w:val="00423854"/>
    <w:rsid w:val="0043324D"/>
    <w:rsid w:val="00440E97"/>
    <w:rsid w:val="004D3495"/>
    <w:rsid w:val="004E4868"/>
    <w:rsid w:val="004F0712"/>
    <w:rsid w:val="00531F2C"/>
    <w:rsid w:val="005D1100"/>
    <w:rsid w:val="005E5696"/>
    <w:rsid w:val="00623785"/>
    <w:rsid w:val="00674FDF"/>
    <w:rsid w:val="00683AF5"/>
    <w:rsid w:val="006A156D"/>
    <w:rsid w:val="006C6178"/>
    <w:rsid w:val="007313EF"/>
    <w:rsid w:val="00733858"/>
    <w:rsid w:val="00750868"/>
    <w:rsid w:val="007531A9"/>
    <w:rsid w:val="007F2F38"/>
    <w:rsid w:val="00846AF5"/>
    <w:rsid w:val="00863844"/>
    <w:rsid w:val="00865C68"/>
    <w:rsid w:val="008C579A"/>
    <w:rsid w:val="008E1119"/>
    <w:rsid w:val="008E4D04"/>
    <w:rsid w:val="0092439D"/>
    <w:rsid w:val="0093545B"/>
    <w:rsid w:val="00945A18"/>
    <w:rsid w:val="00996CD1"/>
    <w:rsid w:val="009B6AFF"/>
    <w:rsid w:val="009C2D24"/>
    <w:rsid w:val="009F2870"/>
    <w:rsid w:val="00A22D26"/>
    <w:rsid w:val="00A90ED1"/>
    <w:rsid w:val="00AE0E43"/>
    <w:rsid w:val="00AF0727"/>
    <w:rsid w:val="00B10F8E"/>
    <w:rsid w:val="00B43221"/>
    <w:rsid w:val="00B45F72"/>
    <w:rsid w:val="00BD2BF4"/>
    <w:rsid w:val="00BE31A7"/>
    <w:rsid w:val="00BE4800"/>
    <w:rsid w:val="00BE612C"/>
    <w:rsid w:val="00C0688A"/>
    <w:rsid w:val="00C53485"/>
    <w:rsid w:val="00CC2572"/>
    <w:rsid w:val="00D0031C"/>
    <w:rsid w:val="00D22B10"/>
    <w:rsid w:val="00D34249"/>
    <w:rsid w:val="00D434EA"/>
    <w:rsid w:val="00D512EB"/>
    <w:rsid w:val="00D61334"/>
    <w:rsid w:val="00D91DA4"/>
    <w:rsid w:val="00DA6731"/>
    <w:rsid w:val="00DC5C5F"/>
    <w:rsid w:val="00DF50E1"/>
    <w:rsid w:val="00E07FE4"/>
    <w:rsid w:val="00E33F58"/>
    <w:rsid w:val="00E700DB"/>
    <w:rsid w:val="00E934D1"/>
    <w:rsid w:val="00EA531B"/>
    <w:rsid w:val="00EE303A"/>
    <w:rsid w:val="00F239A2"/>
    <w:rsid w:val="00F268BF"/>
    <w:rsid w:val="00F95935"/>
    <w:rsid w:val="00F96D5B"/>
    <w:rsid w:val="00FA3078"/>
    <w:rsid w:val="00FA37AF"/>
    <w:rsid w:val="00FC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74378-2FA5-4F43-9EED-9A69878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dcterms:created xsi:type="dcterms:W3CDTF">2022-12-12T03:21:00Z</dcterms:created>
  <dcterms:modified xsi:type="dcterms:W3CDTF">2022-12-12T03:21:00Z</dcterms:modified>
</cp:coreProperties>
</file>