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83" w:rsidRPr="00210C88" w:rsidRDefault="00B11B83" w:rsidP="00B11B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Протокол № ___</w:t>
      </w:r>
      <w:r w:rsidR="002D098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10C88">
        <w:rPr>
          <w:rFonts w:ascii="Times New Roman" w:hAnsi="Times New Roman" w:cs="Times New Roman"/>
          <w:sz w:val="24"/>
          <w:szCs w:val="24"/>
        </w:rPr>
        <w:t>___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11B83" w:rsidRPr="00210C88" w:rsidRDefault="00B11B83" w:rsidP="00B11B8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От __</w:t>
      </w:r>
      <w:r w:rsidR="002D098F">
        <w:rPr>
          <w:rFonts w:ascii="Times New Roman" w:hAnsi="Times New Roman" w:cs="Times New Roman"/>
          <w:sz w:val="24"/>
          <w:szCs w:val="24"/>
          <w:u w:val="single"/>
        </w:rPr>
        <w:t>25.12</w:t>
      </w:r>
      <w:r w:rsidRPr="00210C88">
        <w:rPr>
          <w:rFonts w:ascii="Times New Roman" w:hAnsi="Times New Roman" w:cs="Times New Roman"/>
          <w:sz w:val="24"/>
          <w:szCs w:val="24"/>
        </w:rPr>
        <w:t>_2017 г.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Заседание кафедры _____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 w:rsidRPr="00210C88">
        <w:rPr>
          <w:rFonts w:ascii="Times New Roman" w:hAnsi="Times New Roman" w:cs="Times New Roman"/>
          <w:sz w:val="24"/>
          <w:szCs w:val="24"/>
        </w:rPr>
        <w:t>_______________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11B83" w:rsidRPr="00210C88" w:rsidRDefault="00B11B83" w:rsidP="00B11B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B11B83" w:rsidRPr="00210C88" w:rsidRDefault="00B11B83" w:rsidP="00B11B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 w:rsidRPr="00210C88"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 w:rsidRPr="00210C8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10C88"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 w:rsidRPr="00210C88">
        <w:rPr>
          <w:rFonts w:ascii="Times New Roman" w:hAnsi="Times New Roman" w:cs="Times New Roman"/>
          <w:sz w:val="24"/>
          <w:szCs w:val="24"/>
        </w:rPr>
        <w:t xml:space="preserve"> __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 w:rsidRPr="00210C88">
        <w:rPr>
          <w:rFonts w:ascii="Times New Roman" w:hAnsi="Times New Roman" w:cs="Times New Roman"/>
          <w:sz w:val="24"/>
          <w:szCs w:val="24"/>
        </w:rPr>
        <w:t>__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210C88">
        <w:rPr>
          <w:rFonts w:ascii="Times New Roman" w:hAnsi="Times New Roman" w:cs="Times New Roman"/>
          <w:sz w:val="24"/>
          <w:szCs w:val="24"/>
        </w:rPr>
        <w:t>Присутствовали: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Гурьева Л.К, Артамонова О.А.,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И.Г,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М.В,,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Р.Ф,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А.В,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 w:rsidRPr="00210C88"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И.В, </w:t>
      </w:r>
      <w:proofErr w:type="gramEnd"/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8D679C">
        <w:rPr>
          <w:rFonts w:ascii="Times New Roman" w:hAnsi="Times New Roman" w:cs="Times New Roman"/>
          <w:sz w:val="24"/>
          <w:szCs w:val="24"/>
        </w:rPr>
        <w:t>П</w:t>
      </w:r>
      <w:r w:rsidR="008D679C" w:rsidRPr="002D098F">
        <w:rPr>
          <w:rFonts w:ascii="Times New Roman" w:hAnsi="Times New Roman" w:cs="Times New Roman"/>
          <w:sz w:val="24"/>
          <w:szCs w:val="24"/>
        </w:rPr>
        <w:t>лан</w:t>
      </w:r>
      <w:r w:rsidR="008D679C">
        <w:rPr>
          <w:rFonts w:ascii="Times New Roman" w:hAnsi="Times New Roman" w:cs="Times New Roman"/>
          <w:sz w:val="24"/>
          <w:szCs w:val="24"/>
        </w:rPr>
        <w:t xml:space="preserve"> внедрения</w:t>
      </w:r>
      <w:r w:rsidR="008D679C" w:rsidRPr="002D098F">
        <w:rPr>
          <w:rFonts w:ascii="Times New Roman" w:hAnsi="Times New Roman" w:cs="Times New Roman"/>
          <w:sz w:val="24"/>
          <w:szCs w:val="24"/>
        </w:rPr>
        <w:t xml:space="preserve"> специальности 38.02.04 Коммерция</w:t>
      </w:r>
      <w:r w:rsidR="008D679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8D679C" w:rsidRPr="002D09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210C88">
        <w:rPr>
          <w:rFonts w:ascii="Times New Roman" w:hAnsi="Times New Roman" w:cs="Times New Roman"/>
          <w:sz w:val="24"/>
          <w:szCs w:val="24"/>
        </w:rPr>
        <w:t>Ответственный:_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8D679C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8D679C">
        <w:rPr>
          <w:rFonts w:ascii="Times New Roman" w:hAnsi="Times New Roman" w:cs="Times New Roman"/>
          <w:sz w:val="24"/>
          <w:szCs w:val="24"/>
          <w:u w:val="single"/>
        </w:rPr>
        <w:t>Сроки разработки УМД.</w:t>
      </w:r>
    </w:p>
    <w:p w:rsidR="00B11B83" w:rsidRPr="00210C88" w:rsidRDefault="00B11B83" w:rsidP="00B11B8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210C88">
        <w:rPr>
          <w:rFonts w:ascii="Times New Roman" w:hAnsi="Times New Roman" w:cs="Times New Roman"/>
          <w:sz w:val="24"/>
          <w:szCs w:val="24"/>
        </w:rPr>
        <w:t>Ответственный:_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 w:rsidRPr="00210C88"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2D098F" w:rsidRDefault="00B11B83" w:rsidP="002D098F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Слушали: __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 w:rsidRPr="00210C88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2D098F" w:rsidRPr="002D098F" w:rsidRDefault="002D098F" w:rsidP="002D098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D098F">
        <w:rPr>
          <w:rFonts w:ascii="Times New Roman" w:hAnsi="Times New Roman" w:cs="Times New Roman"/>
          <w:sz w:val="24"/>
          <w:szCs w:val="24"/>
        </w:rPr>
        <w:t>С 2018-2019 уч. г.   п</w:t>
      </w:r>
      <w:r w:rsidRPr="002D098F">
        <w:rPr>
          <w:rFonts w:ascii="Times New Roman" w:hAnsi="Times New Roman" w:cs="Times New Roman"/>
          <w:sz w:val="24"/>
          <w:szCs w:val="24"/>
        </w:rPr>
        <w:t>лан</w:t>
      </w:r>
      <w:r w:rsidRPr="002D098F">
        <w:rPr>
          <w:rFonts w:ascii="Times New Roman" w:hAnsi="Times New Roman" w:cs="Times New Roman"/>
          <w:sz w:val="24"/>
          <w:szCs w:val="24"/>
        </w:rPr>
        <w:t>ируется  внедрение</w:t>
      </w:r>
      <w:r w:rsidRPr="002D098F">
        <w:rPr>
          <w:rFonts w:ascii="Times New Roman" w:hAnsi="Times New Roman" w:cs="Times New Roman"/>
          <w:sz w:val="24"/>
          <w:szCs w:val="24"/>
        </w:rPr>
        <w:t xml:space="preserve"> специальности 38.02.04 Коммерция </w:t>
      </w:r>
      <w:r w:rsidRPr="002D098F">
        <w:rPr>
          <w:rFonts w:ascii="Times New Roman" w:hAnsi="Times New Roman" w:cs="Times New Roman"/>
          <w:sz w:val="24"/>
          <w:szCs w:val="24"/>
        </w:rPr>
        <w:br/>
        <w:t>(по отраслям)</w:t>
      </w:r>
      <w:r w:rsidRPr="002D098F">
        <w:rPr>
          <w:rFonts w:ascii="Times New Roman" w:hAnsi="Times New Roman" w:cs="Times New Roman"/>
          <w:sz w:val="24"/>
          <w:szCs w:val="24"/>
        </w:rPr>
        <w:t xml:space="preserve">. За преподавателями кафедры закреплены следующие дисциплины:    </w:t>
      </w:r>
      <w:r w:rsidRPr="002D098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4"/>
        <w:gridCol w:w="4794"/>
        <w:gridCol w:w="3920"/>
      </w:tblGrid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2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2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5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5E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D098F" w:rsidRPr="00BA265E" w:rsidTr="00BA5F7E">
        <w:tc>
          <w:tcPr>
            <w:tcW w:w="9571" w:type="dxa"/>
            <w:gridSpan w:val="3"/>
          </w:tcPr>
          <w:p w:rsidR="002D098F" w:rsidRPr="00BA265E" w:rsidRDefault="002D098F" w:rsidP="00BA5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Общеобразовательный цикл (1 курс </w:t>
            </w:r>
            <w:proofErr w:type="gramStart"/>
            <w:r w:rsidRPr="00BA265E">
              <w:rPr>
                <w:rFonts w:ascii="Times New Roman" w:hAnsi="Times New Roman" w:cs="Times New Roman"/>
                <w:b/>
                <w:sz w:val="24"/>
                <w:szCs w:val="24"/>
              </w:rPr>
              <w:t>–С</w:t>
            </w:r>
            <w:proofErr w:type="gramEnd"/>
            <w:r w:rsidRPr="00BA265E">
              <w:rPr>
                <w:rFonts w:ascii="Times New Roman" w:hAnsi="Times New Roman" w:cs="Times New Roman"/>
                <w:b/>
                <w:sz w:val="24"/>
                <w:szCs w:val="24"/>
              </w:rPr>
              <w:t>оциально-экономический профиль)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8"/>
            <w:bookmarkStart w:id="2" w:name="OLE_LINK9"/>
            <w:bookmarkStart w:id="3" w:name="OLE_LINK1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Марванова</w:t>
            </w:r>
            <w:bookmarkEnd w:id="1"/>
            <w:bookmarkEnd w:id="2"/>
            <w:bookmarkEnd w:id="3"/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Марванова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23"/>
            <w:bookmarkStart w:id="5" w:name="OLE_LINK24"/>
            <w:bookmarkStart w:id="6" w:name="OLE_LINK25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Н.А. Савина</w:t>
            </w:r>
          </w:p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Хаматнурова</w:t>
            </w:r>
            <w:proofErr w:type="spellEnd"/>
          </w:p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Царегородцева</w:t>
            </w:r>
            <w:proofErr w:type="spellEnd"/>
          </w:p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Домрачева</w:t>
            </w:r>
            <w:bookmarkEnd w:id="4"/>
            <w:bookmarkEnd w:id="5"/>
            <w:bookmarkEnd w:id="6"/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OLE_LINK14"/>
            <w:bookmarkStart w:id="8" w:name="OLE_LINK1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Искандарова</w:t>
            </w:r>
            <w:bookmarkEnd w:id="7"/>
            <w:bookmarkEnd w:id="8"/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520">
              <w:rPr>
                <w:rFonts w:ascii="Times New Roman" w:hAnsi="Times New Roman" w:cs="Times New Roman"/>
                <w:sz w:val="24"/>
                <w:szCs w:val="24"/>
              </w:rPr>
              <w:t xml:space="preserve">Г.Р. </w:t>
            </w:r>
            <w:proofErr w:type="spellStart"/>
            <w:r w:rsidRPr="00B14520">
              <w:rPr>
                <w:rFonts w:ascii="Times New Roman" w:hAnsi="Times New Roman" w:cs="Times New Roman"/>
                <w:sz w:val="24"/>
                <w:szCs w:val="24"/>
              </w:rPr>
              <w:t>Искандарова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056" w:type="dxa"/>
          </w:tcPr>
          <w:p w:rsidR="002D098F" w:rsidRPr="00A477F8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Михайлова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Башкирский язык/Родной язык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OLE_LINK31"/>
            <w:bookmarkStart w:id="10" w:name="OLE_LINK32"/>
            <w:bookmarkStart w:id="11" w:name="OLE_LINK33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М.З. </w:t>
            </w:r>
            <w:proofErr w:type="spell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Баймурзина</w:t>
            </w:r>
            <w:proofErr w:type="spellEnd"/>
          </w:p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bookmarkEnd w:id="9"/>
            <w:bookmarkEnd w:id="10"/>
            <w:bookmarkEnd w:id="11"/>
            <w:proofErr w:type="spellEnd"/>
          </w:p>
        </w:tc>
      </w:tr>
      <w:tr w:rsidR="002D098F" w:rsidRPr="00BA265E" w:rsidTr="00BA5F7E">
        <w:tc>
          <w:tcPr>
            <w:tcW w:w="9571" w:type="dxa"/>
            <w:gridSpan w:val="3"/>
          </w:tcPr>
          <w:p w:rsidR="002D098F" w:rsidRPr="00BA265E" w:rsidRDefault="002D098F" w:rsidP="00BA5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OLE_LINK16"/>
            <w:bookmarkStart w:id="13" w:name="OLE_LINK17"/>
            <w:bookmarkStart w:id="14" w:name="OLE_LINK18"/>
            <w:bookmarkStart w:id="15" w:name="OLE_LINK19"/>
            <w:r>
              <w:rPr>
                <w:rFonts w:ascii="Times New Roman" w:hAnsi="Times New Roman" w:cs="Times New Roman"/>
                <w:sz w:val="24"/>
                <w:szCs w:val="24"/>
              </w:rPr>
              <w:t>В.В. Носков</w:t>
            </w:r>
            <w:bookmarkEnd w:id="12"/>
            <w:bookmarkEnd w:id="13"/>
            <w:bookmarkEnd w:id="14"/>
            <w:bookmarkEnd w:id="15"/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Носков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Н.А. Савина</w:t>
            </w:r>
          </w:p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Хаматнурова</w:t>
            </w:r>
            <w:proofErr w:type="spellEnd"/>
          </w:p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Царегородцева</w:t>
            </w:r>
            <w:proofErr w:type="spellEnd"/>
          </w:p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Домрачева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Башкирский язык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М.З. </w:t>
            </w:r>
            <w:proofErr w:type="spell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Баймурзина</w:t>
            </w:r>
            <w:proofErr w:type="spellEnd"/>
          </w:p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организации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Д.С. Никонова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Казина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Михайлова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OLE_LINK34"/>
            <w:bookmarkStart w:id="17" w:name="OLE_LINK35"/>
            <w:bookmarkStart w:id="18" w:name="OLE_LINK3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bookmarkEnd w:id="16"/>
            <w:bookmarkEnd w:id="17"/>
            <w:bookmarkEnd w:id="18"/>
            <w:proofErr w:type="spellEnd"/>
          </w:p>
        </w:tc>
      </w:tr>
      <w:tr w:rsidR="002D098F" w:rsidRPr="00BA265E" w:rsidTr="002D098F">
        <w:tc>
          <w:tcPr>
            <w:tcW w:w="576" w:type="dxa"/>
            <w:vMerge w:val="restart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ПМ.1 Организация и управление торгово-сбытовой деятельностью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Организация коммерческой деятельности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Организация торговли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Техническое оснащение торговых организаций и охрана труда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Горцева</w:t>
            </w:r>
            <w:proofErr w:type="spellEnd"/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(программа)</w:t>
            </w:r>
          </w:p>
        </w:tc>
        <w:tc>
          <w:tcPr>
            <w:tcW w:w="4056" w:type="dxa"/>
          </w:tcPr>
          <w:p w:rsidR="002D098F" w:rsidRPr="00B92CF3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  <w:vMerge w:val="restart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ПМ.2 Организация и проведение экономической и маркетинговой деятельности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Финансы, налоги и налогообложение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Д.С. Никонова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Анализ финансово-хозяйственной деятельности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Маркетинг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Р.Р. Рахимов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(программа)</w:t>
            </w:r>
          </w:p>
        </w:tc>
        <w:tc>
          <w:tcPr>
            <w:tcW w:w="4056" w:type="dxa"/>
          </w:tcPr>
          <w:p w:rsidR="002D098F" w:rsidRPr="00B92CF3" w:rsidRDefault="002D098F" w:rsidP="002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CF3"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  <w:vMerge w:val="restart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ПМ.3 Управление ассортиментом, оценка качества и обеспечение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сохраняемости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Теоретические основы товароведения</w:t>
            </w:r>
          </w:p>
        </w:tc>
        <w:tc>
          <w:tcPr>
            <w:tcW w:w="4056" w:type="dxa"/>
          </w:tcPr>
          <w:p w:rsidR="002D098F" w:rsidRPr="002D098F" w:rsidRDefault="002D098F" w:rsidP="002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 Гурьева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 Товароведение продовольственных и непродовольственных товаров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 Гурьева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 (программа)</w:t>
            </w:r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CF3"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  <w:vMerge w:val="restart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ПМ.4 Выполнение работ по профессии «Кассир торгового зала»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МДК. </w:t>
            </w:r>
            <w:bookmarkStart w:id="19" w:name="OLE_LINK1"/>
            <w:r w:rsidRPr="00B92CF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кассира торгового зала</w:t>
            </w:r>
            <w:bookmarkEnd w:id="19"/>
          </w:p>
        </w:tc>
        <w:tc>
          <w:tcPr>
            <w:tcW w:w="4056" w:type="dxa"/>
          </w:tcPr>
          <w:p w:rsidR="002D098F" w:rsidRP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D098F">
              <w:rPr>
                <w:rFonts w:ascii="Times New Roman" w:hAnsi="Times New Roman" w:cs="Times New Roman"/>
                <w:sz w:val="24"/>
                <w:szCs w:val="24"/>
              </w:rPr>
              <w:t xml:space="preserve"> Гурьева</w:t>
            </w:r>
          </w:p>
        </w:tc>
      </w:tr>
      <w:tr w:rsidR="002D098F" w:rsidRPr="00BA265E" w:rsidTr="002D098F">
        <w:tc>
          <w:tcPr>
            <w:tcW w:w="576" w:type="dxa"/>
            <w:vMerge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(программа)</w:t>
            </w:r>
          </w:p>
        </w:tc>
        <w:tc>
          <w:tcPr>
            <w:tcW w:w="4056" w:type="dxa"/>
          </w:tcPr>
          <w:p w:rsidR="002D098F" w:rsidRPr="00B92CF3" w:rsidRDefault="002D098F" w:rsidP="002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CF3">
              <w:rPr>
                <w:rFonts w:ascii="Times New Roman" w:hAnsi="Times New Roman" w:cs="Times New Roman"/>
                <w:sz w:val="24"/>
                <w:szCs w:val="24"/>
              </w:rPr>
              <w:t>О.А. Артамонова</w:t>
            </w:r>
          </w:p>
        </w:tc>
      </w:tr>
      <w:tr w:rsidR="002D098F" w:rsidRPr="00BA265E" w:rsidTr="002D098F"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4056" w:type="dxa"/>
          </w:tcPr>
          <w:p w:rsidR="002D098F" w:rsidRPr="00B92CF3" w:rsidRDefault="002D098F" w:rsidP="002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CF3">
              <w:rPr>
                <w:rFonts w:ascii="Times New Roman" w:hAnsi="Times New Roman" w:cs="Times New Roman"/>
                <w:sz w:val="24"/>
                <w:szCs w:val="24"/>
              </w:rPr>
              <w:t xml:space="preserve">О.А. Артамонова </w:t>
            </w:r>
          </w:p>
        </w:tc>
      </w:tr>
      <w:tr w:rsidR="002D098F" w:rsidRPr="00BA265E" w:rsidTr="002D098F">
        <w:trPr>
          <w:trHeight w:val="164"/>
        </w:trPr>
        <w:tc>
          <w:tcPr>
            <w:tcW w:w="576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39" w:type="dxa"/>
          </w:tcPr>
          <w:p w:rsidR="002D098F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ГИА</w:t>
            </w:r>
          </w:p>
        </w:tc>
        <w:tc>
          <w:tcPr>
            <w:tcW w:w="4056" w:type="dxa"/>
          </w:tcPr>
          <w:p w:rsidR="002D098F" w:rsidRPr="00BA265E" w:rsidRDefault="002D098F" w:rsidP="00BA5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Л.К. Гурьева</w:t>
            </w:r>
          </w:p>
        </w:tc>
      </w:tr>
    </w:tbl>
    <w:p w:rsidR="002D098F" w:rsidRDefault="002D098F" w:rsidP="002D0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98F" w:rsidRDefault="00B11B83" w:rsidP="005B669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 xml:space="preserve">   Решение:</w:t>
      </w:r>
      <w:r w:rsidR="005B669F" w:rsidRPr="00210C88">
        <w:rPr>
          <w:rFonts w:ascii="Times New Roman" w:hAnsi="Times New Roman" w:cs="Times New Roman"/>
          <w:sz w:val="24"/>
          <w:szCs w:val="24"/>
        </w:rPr>
        <w:t xml:space="preserve"> Принять к сведению</w:t>
      </w:r>
      <w:r w:rsidR="002D098F">
        <w:rPr>
          <w:rFonts w:ascii="Times New Roman" w:hAnsi="Times New Roman" w:cs="Times New Roman"/>
          <w:sz w:val="24"/>
          <w:szCs w:val="24"/>
        </w:rPr>
        <w:t>.</w:t>
      </w:r>
    </w:p>
    <w:p w:rsidR="002D098F" w:rsidRDefault="002D098F" w:rsidP="005B669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098F" w:rsidRDefault="002D098F" w:rsidP="005B669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098F" w:rsidRDefault="002D098F" w:rsidP="002D098F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10C88">
        <w:rPr>
          <w:rFonts w:ascii="Times New Roman" w:hAnsi="Times New Roman" w:cs="Times New Roman"/>
          <w:sz w:val="24"/>
          <w:szCs w:val="24"/>
        </w:rPr>
        <w:t>Слушали: __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 w:rsidRPr="00210C88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D55C6C" w:rsidRPr="00D55C6C" w:rsidRDefault="002D098F" w:rsidP="00D55C6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="00D55C6C" w:rsidRPr="00D55C6C">
        <w:rPr>
          <w:rFonts w:ascii="Times New Roman" w:hAnsi="Times New Roman" w:cs="Times New Roman"/>
          <w:sz w:val="24"/>
        </w:rPr>
        <w:t>п</w:t>
      </w:r>
      <w:r w:rsidRPr="00D55C6C">
        <w:rPr>
          <w:rFonts w:ascii="Times New Roman" w:hAnsi="Times New Roman" w:cs="Times New Roman"/>
          <w:sz w:val="24"/>
        </w:rPr>
        <w:t xml:space="preserve">лан внедрения специальности 38.02.04 </w:t>
      </w:r>
      <w:r w:rsidR="00D55C6C">
        <w:rPr>
          <w:rFonts w:ascii="Times New Roman" w:hAnsi="Times New Roman" w:cs="Times New Roman"/>
          <w:sz w:val="24"/>
        </w:rPr>
        <w:t>к</w:t>
      </w:r>
      <w:r w:rsidRPr="00D55C6C">
        <w:rPr>
          <w:rFonts w:ascii="Times New Roman" w:hAnsi="Times New Roman" w:cs="Times New Roman"/>
          <w:sz w:val="24"/>
        </w:rPr>
        <w:t xml:space="preserve">оммерция </w:t>
      </w:r>
      <w:r w:rsidR="00D55C6C" w:rsidRPr="00D55C6C">
        <w:rPr>
          <w:rFonts w:ascii="Times New Roman" w:hAnsi="Times New Roman" w:cs="Times New Roman"/>
          <w:sz w:val="24"/>
        </w:rPr>
        <w:t xml:space="preserve"> </w:t>
      </w:r>
      <w:r w:rsidRPr="00D55C6C">
        <w:rPr>
          <w:rFonts w:ascii="Times New Roman" w:hAnsi="Times New Roman" w:cs="Times New Roman"/>
          <w:sz w:val="24"/>
        </w:rPr>
        <w:t>(по отраслям)</w:t>
      </w:r>
    </w:p>
    <w:tbl>
      <w:tblPr>
        <w:tblW w:w="1049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687"/>
        <w:gridCol w:w="1984"/>
        <w:gridCol w:w="1701"/>
        <w:gridCol w:w="2268"/>
      </w:tblGrid>
      <w:tr w:rsidR="002D098F" w:rsidRPr="000B0702" w:rsidTr="00D55C6C">
        <w:tc>
          <w:tcPr>
            <w:tcW w:w="850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№</w:t>
            </w:r>
          </w:p>
          <w:p w:rsidR="002D098F" w:rsidRPr="000B0702" w:rsidRDefault="002D098F" w:rsidP="00BA5F7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0B070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0B070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7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Наименование этапа (вида)</w:t>
            </w:r>
          </w:p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работ</w:t>
            </w:r>
          </w:p>
        </w:tc>
        <w:tc>
          <w:tcPr>
            <w:tcW w:w="1984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Ответственное лицо</w:t>
            </w:r>
          </w:p>
        </w:tc>
        <w:tc>
          <w:tcPr>
            <w:tcW w:w="2268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2D098F" w:rsidRPr="000B0702" w:rsidTr="00D55C6C">
        <w:tc>
          <w:tcPr>
            <w:tcW w:w="850" w:type="dxa"/>
            <w:shd w:val="clear" w:color="auto" w:fill="auto"/>
          </w:tcPr>
          <w:p w:rsidR="002D098F" w:rsidRPr="000B0702" w:rsidRDefault="002D098F" w:rsidP="002D098F">
            <w:pPr>
              <w:pStyle w:val="a7"/>
              <w:numPr>
                <w:ilvl w:val="0"/>
                <w:numId w:val="5"/>
              </w:numPr>
              <w:spacing w:before="0" w:beforeAutospacing="0" w:after="0" w:afterAutospacing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Формирование учебно-методической документации: рабочих программ</w:t>
            </w:r>
          </w:p>
        </w:tc>
        <w:tc>
          <w:tcPr>
            <w:tcW w:w="1984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30 января 201</w:t>
            </w:r>
            <w:r>
              <w:rPr>
                <w:sz w:val="22"/>
                <w:szCs w:val="22"/>
              </w:rPr>
              <w:t xml:space="preserve">8 </w:t>
            </w:r>
            <w:r w:rsidRPr="000B0702">
              <w:rPr>
                <w:sz w:val="22"/>
                <w:szCs w:val="22"/>
              </w:rPr>
              <w:t>года</w:t>
            </w:r>
          </w:p>
        </w:tc>
        <w:tc>
          <w:tcPr>
            <w:tcW w:w="1701" w:type="dxa"/>
            <w:shd w:val="clear" w:color="auto" w:fill="auto"/>
          </w:tcPr>
          <w:p w:rsidR="002D098F" w:rsidRPr="000B0702" w:rsidRDefault="00D55C6C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Гурьева Л.К.</w:t>
            </w:r>
          </w:p>
        </w:tc>
        <w:tc>
          <w:tcPr>
            <w:tcW w:w="2268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Преподаватели кафедры</w:t>
            </w:r>
          </w:p>
        </w:tc>
      </w:tr>
      <w:tr w:rsidR="002D098F" w:rsidRPr="000B0702" w:rsidTr="00D55C6C">
        <w:tc>
          <w:tcPr>
            <w:tcW w:w="850" w:type="dxa"/>
            <w:shd w:val="clear" w:color="auto" w:fill="auto"/>
          </w:tcPr>
          <w:p w:rsidR="002D098F" w:rsidRPr="000B0702" w:rsidRDefault="002D098F" w:rsidP="002D098F">
            <w:pPr>
              <w:pStyle w:val="a7"/>
              <w:numPr>
                <w:ilvl w:val="0"/>
                <w:numId w:val="5"/>
              </w:numPr>
              <w:spacing w:before="0" w:beforeAutospacing="0" w:after="0" w:afterAutospacing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Формирование учебно-методической документации: УМК</w:t>
            </w:r>
          </w:p>
        </w:tc>
        <w:tc>
          <w:tcPr>
            <w:tcW w:w="1984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28 февраля 201</w:t>
            </w:r>
            <w:r>
              <w:rPr>
                <w:sz w:val="22"/>
                <w:szCs w:val="22"/>
              </w:rPr>
              <w:t>8</w:t>
            </w:r>
            <w:r w:rsidRPr="000B070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2D098F" w:rsidRPr="000B0702" w:rsidRDefault="00D55C6C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Гурьева Л.К.</w:t>
            </w:r>
          </w:p>
        </w:tc>
        <w:tc>
          <w:tcPr>
            <w:tcW w:w="2268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Преподаватели кафедры</w:t>
            </w:r>
          </w:p>
        </w:tc>
      </w:tr>
      <w:tr w:rsidR="002D098F" w:rsidRPr="000B0702" w:rsidTr="00D55C6C">
        <w:tc>
          <w:tcPr>
            <w:tcW w:w="850" w:type="dxa"/>
            <w:shd w:val="clear" w:color="auto" w:fill="auto"/>
          </w:tcPr>
          <w:p w:rsidR="002D098F" w:rsidRPr="000B0702" w:rsidRDefault="002D098F" w:rsidP="002D098F">
            <w:pPr>
              <w:pStyle w:val="a7"/>
              <w:numPr>
                <w:ilvl w:val="0"/>
                <w:numId w:val="5"/>
              </w:numPr>
              <w:spacing w:before="0" w:beforeAutospacing="0" w:after="0" w:afterAutospacing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Размещение на сайте рабочих программ и УМК</w:t>
            </w:r>
          </w:p>
        </w:tc>
        <w:tc>
          <w:tcPr>
            <w:tcW w:w="1984" w:type="dxa"/>
            <w:shd w:val="clear" w:color="auto" w:fill="auto"/>
          </w:tcPr>
          <w:p w:rsidR="002D098F" w:rsidRPr="000B0702" w:rsidRDefault="002D098F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1 марта 201</w:t>
            </w:r>
            <w:r>
              <w:rPr>
                <w:sz w:val="22"/>
                <w:szCs w:val="22"/>
              </w:rPr>
              <w:t>8</w:t>
            </w:r>
            <w:r w:rsidRPr="000B070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2D098F" w:rsidRPr="000B0702" w:rsidRDefault="00D55C6C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Гурьева Л.К.</w:t>
            </w:r>
            <w:r w:rsidR="002D098F" w:rsidRPr="000B070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D098F" w:rsidRPr="000B0702" w:rsidRDefault="00D55C6C" w:rsidP="00BA5F7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702">
              <w:rPr>
                <w:sz w:val="22"/>
                <w:szCs w:val="22"/>
              </w:rPr>
              <w:t>Преподаватели кафедры</w:t>
            </w:r>
          </w:p>
        </w:tc>
      </w:tr>
    </w:tbl>
    <w:p w:rsidR="002D098F" w:rsidRDefault="002D098F" w:rsidP="002D098F"/>
    <w:p w:rsidR="002D098F" w:rsidRPr="00210C88" w:rsidRDefault="002D098F" w:rsidP="005B669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76412A" w:rsidRPr="00210C88" w:rsidRDefault="0076412A" w:rsidP="00B11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FE3" w:rsidRPr="00210C88" w:rsidRDefault="00B11B83" w:rsidP="00B11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10C88"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 w:rsidRPr="00210C8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10C88"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 w:rsidRPr="00210C88">
        <w:rPr>
          <w:rFonts w:ascii="Times New Roman" w:hAnsi="Times New Roman" w:cs="Times New Roman"/>
          <w:sz w:val="24"/>
          <w:szCs w:val="24"/>
        </w:rPr>
        <w:t>______________        _____</w:t>
      </w:r>
      <w:r w:rsidRPr="00210C88"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 w:rsidRPr="00210C8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0FE3" w:rsidRPr="00210C88" w:rsidSect="00D55C6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2D9A"/>
    <w:multiLevelType w:val="hybridMultilevel"/>
    <w:tmpl w:val="0D748C34"/>
    <w:lvl w:ilvl="0" w:tplc="380C88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7D3B"/>
    <w:multiLevelType w:val="hybridMultilevel"/>
    <w:tmpl w:val="03DA188E"/>
    <w:lvl w:ilvl="0" w:tplc="A01AAA8E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C5149"/>
    <w:multiLevelType w:val="hybridMultilevel"/>
    <w:tmpl w:val="2F8C855A"/>
    <w:lvl w:ilvl="0" w:tplc="A01AAA8E">
      <w:start w:val="1"/>
      <w:numFmt w:val="bullet"/>
      <w:lvlText w:val="─"/>
      <w:lvlJc w:val="left"/>
      <w:pPr>
        <w:ind w:left="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1B83"/>
    <w:rsid w:val="00210C88"/>
    <w:rsid w:val="002D098F"/>
    <w:rsid w:val="005B669F"/>
    <w:rsid w:val="006074E4"/>
    <w:rsid w:val="0076412A"/>
    <w:rsid w:val="008D679C"/>
    <w:rsid w:val="00B11B83"/>
    <w:rsid w:val="00D55C6C"/>
    <w:rsid w:val="00E4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2D09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11B83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11B83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B11B83"/>
    <w:pPr>
      <w:ind w:left="720"/>
      <w:contextualSpacing/>
    </w:pPr>
  </w:style>
  <w:style w:type="table" w:styleId="a6">
    <w:name w:val="Table Grid"/>
    <w:basedOn w:val="a1"/>
    <w:uiPriority w:val="59"/>
    <w:rsid w:val="00B11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11B83"/>
  </w:style>
  <w:style w:type="character" w:customStyle="1" w:styleId="40">
    <w:name w:val="Заголовок 4 Знак"/>
    <w:basedOn w:val="a0"/>
    <w:link w:val="4"/>
    <w:rsid w:val="002D09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rsid w:val="002D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89878-CBA7-4DE1-A1E5-E352998D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2017-12-11T05:31:00Z</dcterms:created>
  <dcterms:modified xsi:type="dcterms:W3CDTF">2018-01-25T08:22:00Z</dcterms:modified>
</cp:coreProperties>
</file>